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EC7A" w14:textId="77777777" w:rsidR="00247A36" w:rsidRDefault="00247A36">
      <w:pPr>
        <w:pStyle w:val="MainText"/>
        <w:spacing w:line="276" w:lineRule="auto"/>
        <w:ind w:left="0"/>
        <w:rPr>
          <w:rFonts w:ascii="Calibri" w:eastAsia="Calibri" w:hAnsi="Calibri" w:cs="Calibri"/>
        </w:rPr>
      </w:pPr>
    </w:p>
    <w:p w14:paraId="458BDDEB" w14:textId="3096C529" w:rsidR="00247A36" w:rsidRPr="002E3586" w:rsidRDefault="004463F2">
      <w:pPr>
        <w:jc w:val="center"/>
        <w:rPr>
          <w:rFonts w:ascii="Calibri" w:eastAsia="Helvetica" w:hAnsi="Calibri" w:cs="Calibri"/>
          <w:b/>
          <w:bCs/>
          <w:sz w:val="28"/>
          <w:szCs w:val="28"/>
        </w:rPr>
      </w:pPr>
      <w:r w:rsidRPr="002E3586">
        <w:rPr>
          <w:rFonts w:ascii="Calibri" w:hAnsi="Calibri" w:cs="Calibri"/>
          <w:b/>
          <w:bCs/>
          <w:sz w:val="28"/>
          <w:szCs w:val="28"/>
        </w:rPr>
        <w:t>CBRE</w:t>
      </w:r>
      <w:r w:rsidR="00150FA3">
        <w:rPr>
          <w:rFonts w:ascii="Calibri" w:hAnsi="Calibri" w:cs="Calibri"/>
          <w:b/>
          <w:bCs/>
          <w:sz w:val="28"/>
          <w:szCs w:val="28"/>
          <w:lang w:val="en-US"/>
        </w:rPr>
        <w:t>:</w:t>
      </w:r>
      <w:r w:rsidR="00215245">
        <w:rPr>
          <w:rFonts w:ascii="Calibri" w:hAnsi="Calibri" w:cs="Calibri"/>
          <w:b/>
          <w:bCs/>
          <w:sz w:val="28"/>
          <w:szCs w:val="28"/>
          <w:lang w:val="en-US"/>
        </w:rPr>
        <w:t xml:space="preserve"> </w:t>
      </w:r>
      <w:r w:rsidRPr="002E3586">
        <w:rPr>
          <w:rFonts w:ascii="Calibri" w:hAnsi="Calibri" w:cs="Calibri"/>
          <w:b/>
          <w:bCs/>
          <w:sz w:val="28"/>
          <w:szCs w:val="28"/>
          <w:lang w:val="en-US"/>
        </w:rPr>
        <w:t xml:space="preserve">Transaction volume in commercial real estate in 2020 will reach </w:t>
      </w:r>
      <w:r w:rsidR="00215245">
        <w:rPr>
          <w:rFonts w:ascii="Calibri" w:hAnsi="Calibri" w:cs="Calibri"/>
          <w:b/>
          <w:bCs/>
          <w:sz w:val="28"/>
          <w:szCs w:val="28"/>
          <w:lang w:val="en-US"/>
        </w:rPr>
        <w:t>in</w:t>
      </w:r>
      <w:r w:rsidR="00004309">
        <w:rPr>
          <w:rFonts w:ascii="Calibri" w:hAnsi="Calibri" w:cs="Calibri"/>
          <w:b/>
          <w:bCs/>
          <w:sz w:val="28"/>
          <w:szCs w:val="28"/>
          <w:lang w:val="en-US"/>
        </w:rPr>
        <w:t> </w:t>
      </w:r>
      <w:r w:rsidR="00215245">
        <w:rPr>
          <w:rFonts w:ascii="Calibri" w:hAnsi="Calibri" w:cs="Calibri"/>
          <w:b/>
          <w:bCs/>
          <w:sz w:val="28"/>
          <w:szCs w:val="28"/>
          <w:lang w:val="en-US"/>
        </w:rPr>
        <w:t>the</w:t>
      </w:r>
      <w:r w:rsidR="00004309">
        <w:rPr>
          <w:rFonts w:ascii="Calibri" w:hAnsi="Calibri" w:cs="Calibri"/>
          <w:b/>
          <w:bCs/>
          <w:sz w:val="28"/>
          <w:szCs w:val="28"/>
          <w:lang w:val="en-US"/>
        </w:rPr>
        <w:t> C</w:t>
      </w:r>
      <w:r w:rsidR="00215245">
        <w:rPr>
          <w:rFonts w:ascii="Calibri" w:hAnsi="Calibri" w:cs="Calibri"/>
          <w:b/>
          <w:bCs/>
          <w:sz w:val="28"/>
          <w:szCs w:val="28"/>
          <w:lang w:val="en-US"/>
        </w:rPr>
        <w:t>ze</w:t>
      </w:r>
      <w:r w:rsidR="00004309">
        <w:rPr>
          <w:rFonts w:ascii="Calibri" w:hAnsi="Calibri" w:cs="Calibri"/>
          <w:b/>
          <w:bCs/>
          <w:sz w:val="28"/>
          <w:szCs w:val="28"/>
          <w:lang w:val="en-US"/>
        </w:rPr>
        <w:t>c</w:t>
      </w:r>
      <w:r w:rsidR="00215245">
        <w:rPr>
          <w:rFonts w:ascii="Calibri" w:hAnsi="Calibri" w:cs="Calibri"/>
          <w:b/>
          <w:bCs/>
          <w:sz w:val="28"/>
          <w:szCs w:val="28"/>
          <w:lang w:val="en-US"/>
        </w:rPr>
        <w:t xml:space="preserve">h Republic </w:t>
      </w:r>
      <w:r w:rsidRPr="002E3586">
        <w:rPr>
          <w:rFonts w:ascii="Calibri" w:hAnsi="Calibri" w:cs="Calibri"/>
          <w:b/>
          <w:bCs/>
          <w:sz w:val="28"/>
          <w:szCs w:val="28"/>
          <w:lang w:val="en-US"/>
        </w:rPr>
        <w:t>€</w:t>
      </w:r>
      <w:r w:rsidR="00044DCD">
        <w:rPr>
          <w:rFonts w:ascii="Calibri" w:hAnsi="Calibri" w:cs="Calibri"/>
          <w:b/>
          <w:bCs/>
          <w:sz w:val="28"/>
          <w:szCs w:val="28"/>
          <w:lang w:val="en-US"/>
        </w:rPr>
        <w:t>3</w:t>
      </w:r>
      <w:r w:rsidRPr="002E3586">
        <w:rPr>
          <w:rFonts w:ascii="Calibri" w:hAnsi="Calibri" w:cs="Calibri"/>
          <w:b/>
          <w:bCs/>
          <w:sz w:val="28"/>
          <w:szCs w:val="28"/>
          <w:lang w:val="en-US"/>
        </w:rPr>
        <w:t xml:space="preserve"> billion</w:t>
      </w:r>
    </w:p>
    <w:p w14:paraId="21CD4828" w14:textId="77777777" w:rsidR="00247A36" w:rsidRPr="002E3586" w:rsidRDefault="00247A36">
      <w:pPr>
        <w:jc w:val="both"/>
        <w:rPr>
          <w:rFonts w:ascii="Calibri" w:eastAsia="Helvetica" w:hAnsi="Calibri" w:cs="Calibri"/>
          <w:b/>
          <w:bCs/>
          <w:sz w:val="28"/>
          <w:szCs w:val="28"/>
        </w:rPr>
      </w:pPr>
    </w:p>
    <w:p w14:paraId="5B55DA75" w14:textId="28199A3E" w:rsidR="00247A36" w:rsidRPr="002E3586" w:rsidRDefault="004463F2">
      <w:pPr>
        <w:jc w:val="both"/>
        <w:rPr>
          <w:rFonts w:ascii="Calibri" w:eastAsia="Calibri" w:hAnsi="Calibri" w:cs="Calibri"/>
        </w:rPr>
      </w:pPr>
      <w:r w:rsidRPr="00D46D25">
        <w:rPr>
          <w:rFonts w:ascii="Calibri" w:hAnsi="Calibri" w:cs="Calibri"/>
        </w:rPr>
        <w:t>Pra</w:t>
      </w:r>
      <w:proofErr w:type="spellStart"/>
      <w:r w:rsidRPr="00D46D25">
        <w:rPr>
          <w:rFonts w:ascii="Calibri" w:hAnsi="Calibri" w:cs="Calibri"/>
          <w:lang w:val="en-US"/>
        </w:rPr>
        <w:t>gue</w:t>
      </w:r>
      <w:proofErr w:type="spellEnd"/>
      <w:r w:rsidRPr="00D46D25">
        <w:rPr>
          <w:rFonts w:ascii="Calibri" w:hAnsi="Calibri" w:cs="Calibri"/>
        </w:rPr>
        <w:t xml:space="preserve">, </w:t>
      </w:r>
      <w:r w:rsidR="00D46D25" w:rsidRPr="00D46D25">
        <w:rPr>
          <w:rFonts w:ascii="Calibri" w:hAnsi="Calibri" w:cs="Calibri"/>
        </w:rPr>
        <w:t>18</w:t>
      </w:r>
      <w:r w:rsidR="00D46D25" w:rsidRPr="00D46D25">
        <w:rPr>
          <w:rFonts w:ascii="Calibri" w:hAnsi="Calibri" w:cs="Calibri"/>
          <w:vertAlign w:val="superscript"/>
        </w:rPr>
        <w:t>th</w:t>
      </w:r>
      <w:r w:rsidR="00D46D25">
        <w:rPr>
          <w:rFonts w:ascii="Calibri" w:hAnsi="Calibri" w:cs="Calibri"/>
          <w:vertAlign w:val="superscript"/>
        </w:rPr>
        <w:t xml:space="preserve"> </w:t>
      </w:r>
      <w:proofErr w:type="spellStart"/>
      <w:r w:rsidR="00D46D25">
        <w:rPr>
          <w:rFonts w:ascii="Calibri" w:hAnsi="Calibri" w:cs="Calibri"/>
        </w:rPr>
        <w:t>December</w:t>
      </w:r>
      <w:proofErr w:type="spellEnd"/>
      <w:r w:rsidRPr="00D46D25">
        <w:rPr>
          <w:rFonts w:ascii="Calibri" w:hAnsi="Calibri" w:cs="Calibri"/>
        </w:rPr>
        <w:t xml:space="preserve"> 2019 – CBRE, </w:t>
      </w:r>
      <w:r w:rsidRPr="00D46D25">
        <w:rPr>
          <w:rFonts w:ascii="Calibri" w:hAnsi="Calibri" w:cs="Calibri"/>
          <w:lang w:val="en-US"/>
        </w:rPr>
        <w:t>the world leader in real estate services, predicts a positive trend in commercial real estate investments for 2020.</w:t>
      </w:r>
      <w:r w:rsidR="00215245">
        <w:rPr>
          <w:rFonts w:ascii="Calibri" w:hAnsi="Calibri" w:cs="Calibri"/>
          <w:lang w:val="en-US"/>
        </w:rPr>
        <w:t xml:space="preserve"> </w:t>
      </w:r>
      <w:r w:rsidR="00BF70C7">
        <w:rPr>
          <w:rFonts w:ascii="Calibri" w:hAnsi="Calibri" w:cs="Calibri"/>
          <w:lang w:val="en-US"/>
        </w:rPr>
        <w:t>Next year i</w:t>
      </w:r>
      <w:r w:rsidR="00215245" w:rsidRPr="00215245">
        <w:rPr>
          <w:rFonts w:ascii="Calibri" w:hAnsi="Calibri" w:cs="Calibri"/>
          <w:lang w:val="en-US"/>
        </w:rPr>
        <w:t>nvestments in hotels will continue to grow, and office buildings will be the most demanded.</w:t>
      </w:r>
    </w:p>
    <w:p w14:paraId="07AA8FA0" w14:textId="77777777" w:rsidR="00247A36" w:rsidRPr="002E3586" w:rsidRDefault="00247A36">
      <w:pPr>
        <w:jc w:val="both"/>
        <w:rPr>
          <w:rFonts w:ascii="Calibri" w:eastAsia="Calibri" w:hAnsi="Calibri" w:cs="Calibri"/>
        </w:rPr>
      </w:pPr>
    </w:p>
    <w:p w14:paraId="3554ADCA" w14:textId="3D12EA79" w:rsidR="00247A36" w:rsidRPr="002E3586" w:rsidRDefault="004463F2">
      <w:pPr>
        <w:jc w:val="both"/>
        <w:rPr>
          <w:rFonts w:ascii="Calibri" w:eastAsia="Calibri" w:hAnsi="Calibri" w:cs="Calibri"/>
        </w:rPr>
      </w:pPr>
      <w:r w:rsidRPr="002E3586">
        <w:rPr>
          <w:rFonts w:ascii="Calibri" w:hAnsi="Calibri" w:cs="Calibri"/>
          <w:lang w:val="en-US"/>
        </w:rPr>
        <w:t>‘</w:t>
      </w:r>
      <w:r w:rsidRPr="002E3586">
        <w:rPr>
          <w:rFonts w:ascii="Calibri" w:hAnsi="Calibri" w:cs="Calibri"/>
          <w:i/>
          <w:iCs/>
          <w:lang w:val="en-US"/>
        </w:rPr>
        <w:t>The interest of investors in Czech commercial real estate remains high; we’re monitoring more than twenty running negotiations at the moment</w:t>
      </w:r>
      <w:r w:rsidR="00354C25" w:rsidRPr="00354C25">
        <w:rPr>
          <w:rFonts w:ascii="Calibri" w:hAnsi="Calibri" w:cs="Calibri"/>
          <w:i/>
          <w:iCs/>
          <w:lang w:val="en-US"/>
        </w:rPr>
        <w:t xml:space="preserve">, that </w:t>
      </w:r>
      <w:r w:rsidR="00354C25">
        <w:rPr>
          <w:rFonts w:ascii="Calibri" w:hAnsi="Calibri" w:cs="Calibri"/>
          <w:i/>
          <w:iCs/>
          <w:lang w:val="en-US"/>
        </w:rPr>
        <w:t xml:space="preserve">some of them </w:t>
      </w:r>
      <w:r w:rsidR="00354C25" w:rsidRPr="00354C25">
        <w:rPr>
          <w:rFonts w:ascii="Calibri" w:hAnsi="Calibri" w:cs="Calibri"/>
          <w:i/>
          <w:iCs/>
          <w:lang w:val="en-US"/>
        </w:rPr>
        <w:t>still may be closed before end year</w:t>
      </w:r>
      <w:r w:rsidR="00354C25">
        <w:rPr>
          <w:rFonts w:ascii="Calibri" w:hAnsi="Calibri" w:cs="Calibri"/>
          <w:i/>
          <w:iCs/>
          <w:lang w:val="en-US"/>
        </w:rPr>
        <w:t xml:space="preserve"> or </w:t>
      </w:r>
      <w:r w:rsidRPr="002E3586">
        <w:rPr>
          <w:rFonts w:ascii="Calibri" w:hAnsi="Calibri" w:cs="Calibri"/>
          <w:i/>
          <w:iCs/>
          <w:lang w:val="en-US"/>
        </w:rPr>
        <w:t xml:space="preserve">will be closed during 2020. For the upcoming year, we predict a total transaction volume </w:t>
      </w:r>
      <w:r w:rsidR="00A51118">
        <w:rPr>
          <w:rFonts w:ascii="Calibri" w:hAnsi="Calibri" w:cs="Calibri"/>
          <w:i/>
          <w:iCs/>
          <w:lang w:val="en-US"/>
        </w:rPr>
        <w:t xml:space="preserve">of </w:t>
      </w:r>
      <w:r w:rsidRPr="002E3586">
        <w:rPr>
          <w:rFonts w:ascii="Calibri" w:hAnsi="Calibri" w:cs="Calibri"/>
          <w:i/>
          <w:iCs/>
          <w:lang w:val="en-US"/>
        </w:rPr>
        <w:t xml:space="preserve">around </w:t>
      </w:r>
      <w:r w:rsidRPr="002E3586">
        <w:rPr>
          <w:rFonts w:ascii="Calibri" w:hAnsi="Calibri" w:cs="Calibri"/>
          <w:i/>
          <w:iCs/>
          <w:lang w:val="pt-PT"/>
        </w:rPr>
        <w:t>€</w:t>
      </w:r>
      <w:r w:rsidR="00A51118">
        <w:rPr>
          <w:rFonts w:ascii="Calibri" w:hAnsi="Calibri" w:cs="Calibri"/>
          <w:i/>
          <w:iCs/>
        </w:rPr>
        <w:t>3</w:t>
      </w:r>
      <w:r w:rsidRPr="002E3586">
        <w:rPr>
          <w:rFonts w:ascii="Calibri" w:hAnsi="Calibri" w:cs="Calibri"/>
          <w:i/>
          <w:iCs/>
        </w:rPr>
        <w:t xml:space="preserve"> </w:t>
      </w:r>
      <w:proofErr w:type="spellStart"/>
      <w:r w:rsidRPr="002E3586">
        <w:rPr>
          <w:rFonts w:ascii="Calibri" w:hAnsi="Calibri" w:cs="Calibri"/>
          <w:i/>
          <w:iCs/>
        </w:rPr>
        <w:t>billion</w:t>
      </w:r>
      <w:proofErr w:type="spellEnd"/>
      <w:r w:rsidRPr="002E3586">
        <w:rPr>
          <w:rFonts w:ascii="Calibri" w:hAnsi="Calibri" w:cs="Calibri"/>
          <w:i/>
          <w:iCs/>
          <w:lang w:val="en-US"/>
        </w:rPr>
        <w:t xml:space="preserve">. </w:t>
      </w:r>
      <w:r w:rsidR="009F27E0">
        <w:rPr>
          <w:rFonts w:ascii="Calibri" w:hAnsi="Calibri" w:cs="Calibri"/>
          <w:i/>
          <w:iCs/>
          <w:lang w:val="en-US"/>
        </w:rPr>
        <w:t xml:space="preserve">We believe that this will continue into 2020 where offices will be a key target sector but that also alternative sectors such as </w:t>
      </w:r>
      <w:r w:rsidR="00307106">
        <w:rPr>
          <w:rFonts w:ascii="Calibri" w:hAnsi="Calibri" w:cs="Calibri"/>
          <w:i/>
          <w:iCs/>
          <w:lang w:val="en-US"/>
        </w:rPr>
        <w:t>h</w:t>
      </w:r>
      <w:r w:rsidR="009F27E0">
        <w:rPr>
          <w:rFonts w:ascii="Calibri" w:hAnsi="Calibri" w:cs="Calibri"/>
          <w:i/>
          <w:iCs/>
          <w:lang w:val="en-US"/>
        </w:rPr>
        <w:t xml:space="preserve">otels and </w:t>
      </w:r>
      <w:r w:rsidR="00354C25">
        <w:rPr>
          <w:rFonts w:ascii="Calibri" w:hAnsi="Calibri" w:cs="Calibri"/>
          <w:i/>
          <w:iCs/>
          <w:lang w:val="en-US"/>
        </w:rPr>
        <w:t xml:space="preserve">commercial </w:t>
      </w:r>
      <w:r w:rsidR="009F27E0">
        <w:rPr>
          <w:rFonts w:ascii="Calibri" w:hAnsi="Calibri" w:cs="Calibri"/>
          <w:i/>
          <w:iCs/>
          <w:lang w:val="en-US"/>
        </w:rPr>
        <w:t>residential will be in demand.</w:t>
      </w:r>
      <w:r w:rsidRPr="002E3586">
        <w:rPr>
          <w:rFonts w:ascii="Calibri" w:hAnsi="Calibri" w:cs="Calibri"/>
          <w:i/>
          <w:iCs/>
          <w:lang w:val="en-US"/>
        </w:rPr>
        <w:t xml:space="preserve"> </w:t>
      </w:r>
      <w:r w:rsidR="009F27E0">
        <w:rPr>
          <w:rFonts w:ascii="Calibri" w:hAnsi="Calibri" w:cs="Calibri"/>
          <w:i/>
          <w:iCs/>
          <w:lang w:val="en-US"/>
        </w:rPr>
        <w:t>We have already seen a shift towards hotels during 2019 with properties such as</w:t>
      </w:r>
      <w:r w:rsidR="00C0576F">
        <w:rPr>
          <w:rFonts w:ascii="Calibri" w:hAnsi="Calibri" w:cs="Calibri"/>
          <w:i/>
          <w:iCs/>
          <w:lang w:val="en-US"/>
        </w:rPr>
        <w:t xml:space="preserve"> </w:t>
      </w:r>
      <w:r w:rsidR="009F27E0">
        <w:rPr>
          <w:rFonts w:ascii="Calibri" w:hAnsi="Calibri" w:cs="Calibri"/>
          <w:i/>
          <w:iCs/>
          <w:lang w:val="en-US"/>
        </w:rPr>
        <w:t>the</w:t>
      </w:r>
      <w:r w:rsidRPr="002E3586">
        <w:rPr>
          <w:rFonts w:ascii="Calibri" w:hAnsi="Calibri" w:cs="Calibri"/>
          <w:i/>
          <w:iCs/>
          <w:lang w:val="en-US"/>
        </w:rPr>
        <w:t xml:space="preserve"> Carlo IV, Intercontinental </w:t>
      </w:r>
      <w:r w:rsidR="009F27E0">
        <w:rPr>
          <w:rFonts w:ascii="Calibri" w:hAnsi="Calibri" w:cs="Calibri"/>
          <w:i/>
          <w:iCs/>
          <w:lang w:val="en-US"/>
        </w:rPr>
        <w:t>and</w:t>
      </w:r>
      <w:r w:rsidR="009F27E0" w:rsidRPr="002E3586">
        <w:rPr>
          <w:rFonts w:ascii="Calibri" w:hAnsi="Calibri" w:cs="Calibri"/>
          <w:i/>
          <w:iCs/>
          <w:lang w:val="en-US"/>
        </w:rPr>
        <w:t xml:space="preserve"> </w:t>
      </w:r>
      <w:r w:rsidRPr="002E3586">
        <w:rPr>
          <w:rFonts w:ascii="Calibri" w:hAnsi="Calibri" w:cs="Calibri"/>
          <w:i/>
          <w:iCs/>
          <w:lang w:val="en-US"/>
        </w:rPr>
        <w:t xml:space="preserve">Don Giovanni hotels, </w:t>
      </w:r>
      <w:r w:rsidR="009F27E0">
        <w:rPr>
          <w:rFonts w:ascii="Calibri" w:hAnsi="Calibri" w:cs="Calibri"/>
          <w:i/>
          <w:iCs/>
          <w:lang w:val="en-US"/>
        </w:rPr>
        <w:t xml:space="preserve">trading </w:t>
      </w:r>
      <w:r w:rsidRPr="002E3586">
        <w:rPr>
          <w:rFonts w:ascii="Calibri" w:hAnsi="Calibri" w:cs="Calibri"/>
          <w:i/>
          <w:iCs/>
          <w:lang w:val="en-US"/>
        </w:rPr>
        <w:t>for example,</w:t>
      </w:r>
      <w:r w:rsidRPr="002E3586">
        <w:rPr>
          <w:rFonts w:ascii="Calibri" w:hAnsi="Calibri" w:cs="Calibri"/>
          <w:lang w:val="en-US"/>
        </w:rPr>
        <w:t xml:space="preserve">’ says </w:t>
      </w:r>
      <w:r w:rsidRPr="002E3586">
        <w:rPr>
          <w:rFonts w:ascii="Calibri" w:hAnsi="Calibri" w:cs="Calibri"/>
          <w:b/>
          <w:bCs/>
          <w:lang w:val="en-US"/>
        </w:rPr>
        <w:t xml:space="preserve">Chris </w:t>
      </w:r>
      <w:proofErr w:type="spellStart"/>
      <w:r w:rsidRPr="002E3586">
        <w:rPr>
          <w:rFonts w:ascii="Calibri" w:hAnsi="Calibri" w:cs="Calibri"/>
          <w:b/>
          <w:bCs/>
          <w:lang w:val="en-US"/>
        </w:rPr>
        <w:t>Sheils</w:t>
      </w:r>
      <w:proofErr w:type="spellEnd"/>
      <w:r w:rsidRPr="002E3586">
        <w:rPr>
          <w:rFonts w:ascii="Calibri" w:hAnsi="Calibri" w:cs="Calibri"/>
          <w:b/>
          <w:bCs/>
          <w:lang w:val="en-US"/>
        </w:rPr>
        <w:t>, Head of Investment Properties at CBRE.</w:t>
      </w:r>
    </w:p>
    <w:p w14:paraId="0C9BEEDC" w14:textId="77777777" w:rsidR="00247A36" w:rsidRPr="002E3586" w:rsidRDefault="00247A36">
      <w:pPr>
        <w:jc w:val="both"/>
        <w:rPr>
          <w:rFonts w:ascii="Calibri" w:eastAsia="Helvetica" w:hAnsi="Calibri" w:cs="Calibri"/>
          <w:i/>
          <w:iCs/>
        </w:rPr>
      </w:pPr>
    </w:p>
    <w:p w14:paraId="5527248B" w14:textId="77777777" w:rsidR="00247A36" w:rsidRPr="002E3586" w:rsidRDefault="004463F2">
      <w:pPr>
        <w:jc w:val="both"/>
        <w:rPr>
          <w:rFonts w:ascii="Calibri" w:eastAsia="Calibri" w:hAnsi="Calibri" w:cs="Calibri"/>
        </w:rPr>
      </w:pPr>
      <w:r w:rsidRPr="002E3586">
        <w:rPr>
          <w:rFonts w:ascii="Calibri" w:hAnsi="Calibri" w:cs="Calibri"/>
          <w:lang w:val="en-US"/>
        </w:rPr>
        <w:t>Prime yields in the office sector and high street will remain at the same level — 4.25 % and 3.5 %, respectively. Prime yields in the industrial sector will drop to 5 %, and slightly grow to 5 % in retail.</w:t>
      </w:r>
    </w:p>
    <w:p w14:paraId="59B1D24B" w14:textId="77777777" w:rsidR="00247A36" w:rsidRPr="002E3586" w:rsidRDefault="00247A36">
      <w:pPr>
        <w:jc w:val="both"/>
        <w:rPr>
          <w:rFonts w:ascii="Calibri" w:eastAsia="Calibri" w:hAnsi="Calibri" w:cs="Calibri"/>
        </w:rPr>
      </w:pPr>
    </w:p>
    <w:p w14:paraId="2319946B" w14:textId="39649E4C" w:rsidR="00B36CFA" w:rsidRDefault="004463F2">
      <w:pPr>
        <w:jc w:val="both"/>
        <w:rPr>
          <w:rFonts w:ascii="Calibri" w:hAnsi="Calibri" w:cs="Calibri"/>
          <w:i/>
          <w:iCs/>
          <w:lang w:val="en-US"/>
        </w:rPr>
      </w:pPr>
      <w:bookmarkStart w:id="0" w:name="_Hlk27409070"/>
      <w:r w:rsidRPr="002E3586">
        <w:rPr>
          <w:rFonts w:ascii="Calibri" w:hAnsi="Calibri" w:cs="Calibri"/>
          <w:b/>
          <w:bCs/>
        </w:rPr>
        <w:t xml:space="preserve">Vítězslav </w:t>
      </w:r>
      <w:proofErr w:type="spellStart"/>
      <w:r w:rsidRPr="002E3586">
        <w:rPr>
          <w:rFonts w:ascii="Calibri" w:hAnsi="Calibri" w:cs="Calibri"/>
          <w:b/>
          <w:bCs/>
        </w:rPr>
        <w:t>Dolež</w:t>
      </w:r>
      <w:proofErr w:type="spellEnd"/>
      <w:r w:rsidRPr="002E3586">
        <w:rPr>
          <w:rFonts w:ascii="Calibri" w:hAnsi="Calibri" w:cs="Calibri"/>
          <w:b/>
          <w:bCs/>
          <w:lang w:val="en-US"/>
        </w:rPr>
        <w:t>al, Associate Director Investment Properties at CBRE</w:t>
      </w:r>
      <w:r w:rsidRPr="002E3586">
        <w:rPr>
          <w:rFonts w:ascii="Calibri" w:hAnsi="Calibri" w:cs="Calibri"/>
        </w:rPr>
        <w:t xml:space="preserve">, </w:t>
      </w:r>
      <w:r w:rsidRPr="002E3586">
        <w:rPr>
          <w:rFonts w:ascii="Calibri" w:hAnsi="Calibri" w:cs="Calibri"/>
          <w:lang w:val="en-US"/>
        </w:rPr>
        <w:t>adds</w:t>
      </w:r>
      <w:r w:rsidRPr="002E3586">
        <w:rPr>
          <w:rFonts w:ascii="Calibri" w:hAnsi="Calibri" w:cs="Calibri"/>
        </w:rPr>
        <w:t>:</w:t>
      </w:r>
      <w:r w:rsidRPr="002E3586">
        <w:rPr>
          <w:rFonts w:ascii="Calibri" w:hAnsi="Calibri" w:cs="Calibri"/>
          <w:lang w:val="en-US"/>
        </w:rPr>
        <w:t xml:space="preserve"> </w:t>
      </w:r>
      <w:r w:rsidR="00B36CFA" w:rsidRPr="004C40DE">
        <w:rPr>
          <w:rFonts w:ascii="Calibri" w:hAnsi="Calibri" w:cs="Calibri"/>
          <w:i/>
          <w:iCs/>
          <w:lang w:val="en-US"/>
        </w:rPr>
        <w:t>‘</w:t>
      </w:r>
      <w:r w:rsidR="007F0173">
        <w:rPr>
          <w:rFonts w:ascii="Calibri" w:hAnsi="Calibri" w:cs="Calibri"/>
          <w:i/>
          <w:iCs/>
          <w:lang w:val="en-US"/>
        </w:rPr>
        <w:t>C</w:t>
      </w:r>
      <w:r w:rsidR="00B36CFA" w:rsidRPr="004C40DE">
        <w:rPr>
          <w:rFonts w:ascii="Calibri" w:hAnsi="Calibri" w:cs="Calibri"/>
          <w:i/>
          <w:iCs/>
          <w:lang w:val="en-US"/>
        </w:rPr>
        <w:t>entral banks are set to keep pumping money into financial markets and economies next year. Besides the favorable debt financing conditions, funds constantly receive strong inflows. Therefore, prices of office and logistics buildings</w:t>
      </w:r>
      <w:r w:rsidR="007F0173">
        <w:rPr>
          <w:rFonts w:ascii="Calibri" w:hAnsi="Calibri" w:cs="Calibri"/>
          <w:i/>
          <w:iCs/>
          <w:lang w:val="en-US"/>
        </w:rPr>
        <w:t xml:space="preserve"> on the Czech market</w:t>
      </w:r>
      <w:r w:rsidR="00B36CFA" w:rsidRPr="004C40DE">
        <w:rPr>
          <w:rFonts w:ascii="Calibri" w:hAnsi="Calibri" w:cs="Calibri"/>
          <w:i/>
          <w:iCs/>
          <w:lang w:val="en-US"/>
        </w:rPr>
        <w:t xml:space="preserve"> went up by approximately 10% in 2019, and we do not expect these segments to be cheaper next year.’  </w:t>
      </w:r>
    </w:p>
    <w:p w14:paraId="1A5C351B" w14:textId="2E60A3CB" w:rsidR="007F0173" w:rsidRDefault="007F0173">
      <w:pPr>
        <w:jc w:val="both"/>
        <w:rPr>
          <w:rFonts w:ascii="Calibri" w:hAnsi="Calibri" w:cs="Calibri"/>
          <w:i/>
          <w:iCs/>
          <w:lang w:val="en-US"/>
        </w:rPr>
      </w:pPr>
    </w:p>
    <w:bookmarkEnd w:id="0"/>
    <w:p w14:paraId="69D9F278" w14:textId="7AE5F0DB" w:rsidR="00247A36" w:rsidRPr="002E3586" w:rsidRDefault="004463F2">
      <w:pPr>
        <w:jc w:val="both"/>
        <w:rPr>
          <w:rFonts w:ascii="Calibri" w:eastAsia="Calibri" w:hAnsi="Calibri" w:cs="Calibri"/>
        </w:rPr>
      </w:pPr>
      <w:r w:rsidRPr="002E3586">
        <w:rPr>
          <w:rFonts w:ascii="Calibri" w:hAnsi="Calibri" w:cs="Calibri"/>
          <w:lang w:val="en-US"/>
        </w:rPr>
        <w:t xml:space="preserve">CBRE </w:t>
      </w:r>
      <w:r w:rsidR="00A51118">
        <w:rPr>
          <w:rFonts w:ascii="Calibri" w:hAnsi="Calibri" w:cs="Calibri"/>
          <w:lang w:val="en-US"/>
        </w:rPr>
        <w:t xml:space="preserve">expects </w:t>
      </w:r>
      <w:r w:rsidRPr="002E3586">
        <w:rPr>
          <w:rFonts w:ascii="Calibri" w:hAnsi="Calibri" w:cs="Calibri"/>
          <w:lang w:val="en-US"/>
        </w:rPr>
        <w:t xml:space="preserve">the total volume of 2019 investments </w:t>
      </w:r>
      <w:r w:rsidR="00354C25">
        <w:rPr>
          <w:rFonts w:ascii="Calibri" w:hAnsi="Calibri" w:cs="Calibri"/>
          <w:lang w:val="en-US"/>
        </w:rPr>
        <w:t xml:space="preserve">in </w:t>
      </w:r>
      <w:r w:rsidR="00354C25" w:rsidRPr="00354C25">
        <w:rPr>
          <w:rFonts w:ascii="Calibri" w:hAnsi="Calibri" w:cs="Calibri"/>
          <w:lang w:val="en-US"/>
        </w:rPr>
        <w:t>retail, office, industrial &amp; mixed-use</w:t>
      </w:r>
      <w:r w:rsidR="00354C25">
        <w:rPr>
          <w:rFonts w:ascii="Calibri" w:hAnsi="Calibri" w:cs="Calibri"/>
          <w:lang w:val="en-US"/>
        </w:rPr>
        <w:t xml:space="preserve"> sectors</w:t>
      </w:r>
      <w:r w:rsidR="00D20223">
        <w:rPr>
          <w:rFonts w:ascii="Calibri" w:hAnsi="Calibri" w:cs="Calibri"/>
          <w:lang w:val="en-US"/>
        </w:rPr>
        <w:t xml:space="preserve"> </w:t>
      </w:r>
      <w:r w:rsidR="00A51118">
        <w:rPr>
          <w:rFonts w:ascii="Calibri" w:hAnsi="Calibri" w:cs="Calibri"/>
          <w:lang w:val="en-US"/>
        </w:rPr>
        <w:t>to be approximately</w:t>
      </w:r>
      <w:r w:rsidRPr="002E3586">
        <w:rPr>
          <w:rFonts w:ascii="Calibri" w:hAnsi="Calibri" w:cs="Calibri"/>
          <w:lang w:val="en-US"/>
        </w:rPr>
        <w:t xml:space="preserve"> </w:t>
      </w:r>
      <w:r w:rsidRPr="002E3586">
        <w:rPr>
          <w:rFonts w:ascii="Calibri" w:hAnsi="Calibri" w:cs="Calibri"/>
          <w:lang w:val="pt-PT"/>
        </w:rPr>
        <w:t>€</w:t>
      </w:r>
      <w:r w:rsidR="006F0EA0">
        <w:rPr>
          <w:rFonts w:ascii="Calibri" w:hAnsi="Calibri" w:cs="Calibri"/>
        </w:rPr>
        <w:t>3</w:t>
      </w:r>
      <w:r w:rsidRPr="002E3586">
        <w:rPr>
          <w:rFonts w:ascii="Calibri" w:hAnsi="Calibri" w:cs="Calibri"/>
        </w:rPr>
        <w:t xml:space="preserve"> </w:t>
      </w:r>
      <w:proofErr w:type="spellStart"/>
      <w:r w:rsidRPr="002E3586">
        <w:rPr>
          <w:rFonts w:ascii="Calibri" w:hAnsi="Calibri" w:cs="Calibri"/>
        </w:rPr>
        <w:t>billion</w:t>
      </w:r>
      <w:proofErr w:type="spellEnd"/>
      <w:r w:rsidRPr="002E3586">
        <w:rPr>
          <w:rFonts w:ascii="Calibri" w:hAnsi="Calibri" w:cs="Calibri"/>
          <w:lang w:val="en-US"/>
        </w:rPr>
        <w:t>, which includes 6</w:t>
      </w:r>
      <w:r w:rsidR="006F0EA0">
        <w:rPr>
          <w:rFonts w:ascii="Calibri" w:hAnsi="Calibri" w:cs="Calibri"/>
          <w:lang w:val="en-US"/>
        </w:rPr>
        <w:t>5</w:t>
      </w:r>
      <w:r w:rsidRPr="002E3586">
        <w:rPr>
          <w:rFonts w:ascii="Calibri" w:hAnsi="Calibri" w:cs="Calibri"/>
          <w:lang w:val="en-US"/>
        </w:rPr>
        <w:t xml:space="preserve"> closed transactions. In 2019, transactions in the office sector </w:t>
      </w:r>
      <w:r w:rsidR="00A51118">
        <w:rPr>
          <w:rFonts w:ascii="Calibri" w:hAnsi="Calibri" w:cs="Calibri"/>
          <w:lang w:val="en-US"/>
        </w:rPr>
        <w:t>are expected to reach</w:t>
      </w:r>
      <w:r w:rsidRPr="002E3586">
        <w:rPr>
          <w:rFonts w:ascii="Calibri" w:hAnsi="Calibri" w:cs="Calibri"/>
          <w:lang w:val="en-US"/>
        </w:rPr>
        <w:t xml:space="preserve"> </w:t>
      </w:r>
      <w:r w:rsidRPr="002E3586">
        <w:rPr>
          <w:rFonts w:ascii="Calibri" w:hAnsi="Calibri" w:cs="Calibri"/>
          <w:lang w:val="pt-PT"/>
        </w:rPr>
        <w:t>€</w:t>
      </w:r>
      <w:r w:rsidRPr="002E3586">
        <w:rPr>
          <w:rFonts w:ascii="Calibri" w:hAnsi="Calibri" w:cs="Calibri"/>
          <w:lang w:val="en-US"/>
        </w:rPr>
        <w:t xml:space="preserve">1.2 billion, which is </w:t>
      </w:r>
      <w:r w:rsidR="00A51118">
        <w:rPr>
          <w:rFonts w:ascii="Calibri" w:hAnsi="Calibri" w:cs="Calibri"/>
          <w:lang w:val="en-US"/>
        </w:rPr>
        <w:t xml:space="preserve">approximately </w:t>
      </w:r>
      <w:r w:rsidRPr="002E3586">
        <w:rPr>
          <w:rFonts w:ascii="Calibri" w:hAnsi="Calibri" w:cs="Calibri"/>
          <w:lang w:val="en-US"/>
        </w:rPr>
        <w:t xml:space="preserve">40% of the total volume. The </w:t>
      </w:r>
      <w:r w:rsidR="00873B9F">
        <w:rPr>
          <w:rFonts w:ascii="Calibri" w:hAnsi="Calibri" w:cs="Calibri"/>
          <w:lang w:val="en-US"/>
        </w:rPr>
        <w:t>hotel sector</w:t>
      </w:r>
      <w:r w:rsidRPr="002E3586">
        <w:rPr>
          <w:rFonts w:ascii="Calibri" w:hAnsi="Calibri" w:cs="Calibri"/>
          <w:lang w:val="en-US"/>
        </w:rPr>
        <w:t xml:space="preserve"> follows with 2</w:t>
      </w:r>
      <w:r w:rsidR="00A51118">
        <w:rPr>
          <w:rFonts w:ascii="Calibri" w:hAnsi="Calibri" w:cs="Calibri"/>
          <w:lang w:val="en-US"/>
        </w:rPr>
        <w:t>0</w:t>
      </w:r>
      <w:r w:rsidRPr="002E3586">
        <w:rPr>
          <w:rFonts w:ascii="Calibri" w:hAnsi="Calibri" w:cs="Calibri"/>
          <w:lang w:val="en-US"/>
        </w:rPr>
        <w:t>%</w:t>
      </w:r>
      <w:r w:rsidR="00873B9F">
        <w:rPr>
          <w:rFonts w:ascii="Calibri" w:hAnsi="Calibri" w:cs="Calibri"/>
          <w:lang w:val="en-US"/>
        </w:rPr>
        <w:t xml:space="preserve"> </w:t>
      </w:r>
      <w:bookmarkStart w:id="1" w:name="_GoBack"/>
      <w:bookmarkEnd w:id="1"/>
      <w:r w:rsidR="00A51118">
        <w:rPr>
          <w:rFonts w:ascii="Calibri" w:hAnsi="Calibri" w:cs="Calibri"/>
          <w:lang w:val="en-US"/>
        </w:rPr>
        <w:t xml:space="preserve">of volumes, </w:t>
      </w:r>
      <w:r w:rsidR="00873B9F">
        <w:rPr>
          <w:rFonts w:ascii="Calibri" w:hAnsi="Calibri" w:cs="Calibri"/>
          <w:lang w:val="en-US"/>
        </w:rPr>
        <w:t>which this year</w:t>
      </w:r>
      <w:r w:rsidRPr="002E3586">
        <w:rPr>
          <w:rFonts w:ascii="Calibri" w:hAnsi="Calibri" w:cs="Calibri"/>
          <w:lang w:val="en-US"/>
        </w:rPr>
        <w:t xml:space="preserve"> showed a significant increase</w:t>
      </w:r>
      <w:r w:rsidR="00997CD9">
        <w:rPr>
          <w:rFonts w:ascii="Calibri" w:hAnsi="Calibri" w:cs="Calibri"/>
          <w:lang w:val="en-US"/>
        </w:rPr>
        <w:t xml:space="preserve">. Retail </w:t>
      </w:r>
      <w:r w:rsidR="00A51118">
        <w:rPr>
          <w:rFonts w:ascii="Calibri" w:hAnsi="Calibri" w:cs="Calibri"/>
          <w:lang w:val="en-US"/>
        </w:rPr>
        <w:t>is expected to also account for around a 20</w:t>
      </w:r>
      <w:r w:rsidRPr="002E3586">
        <w:rPr>
          <w:rFonts w:ascii="Calibri" w:hAnsi="Calibri" w:cs="Calibri"/>
          <w:lang w:val="en-US"/>
        </w:rPr>
        <w:t>% share of the overall investments</w:t>
      </w:r>
      <w:r w:rsidR="00997CD9">
        <w:rPr>
          <w:rFonts w:ascii="Calibri" w:hAnsi="Calibri" w:cs="Calibri"/>
          <w:lang w:val="en-US"/>
        </w:rPr>
        <w:t xml:space="preserve"> and</w:t>
      </w:r>
      <w:r w:rsidRPr="002E3586">
        <w:rPr>
          <w:rFonts w:ascii="Calibri" w:hAnsi="Calibri" w:cs="Calibri"/>
          <w:lang w:val="en-US"/>
        </w:rPr>
        <w:t xml:space="preserve"> </w:t>
      </w:r>
      <w:r w:rsidR="00A51118">
        <w:rPr>
          <w:rFonts w:ascii="Calibri" w:hAnsi="Calibri" w:cs="Calibri"/>
          <w:lang w:val="en-US"/>
        </w:rPr>
        <w:t xml:space="preserve">the </w:t>
      </w:r>
      <w:r w:rsidRPr="002E3586">
        <w:rPr>
          <w:rFonts w:ascii="Calibri" w:hAnsi="Calibri" w:cs="Calibri"/>
          <w:lang w:val="en-US"/>
        </w:rPr>
        <w:t>industrial sector</w:t>
      </w:r>
      <w:r w:rsidR="00A51118">
        <w:rPr>
          <w:rFonts w:ascii="Calibri" w:hAnsi="Calibri" w:cs="Calibri"/>
          <w:lang w:val="en-US"/>
        </w:rPr>
        <w:t xml:space="preserve"> should be around 10%</w:t>
      </w:r>
      <w:r w:rsidR="00997CD9">
        <w:rPr>
          <w:rFonts w:ascii="Calibri" w:hAnsi="Calibri" w:cs="Calibri"/>
          <w:lang w:val="en-US"/>
        </w:rPr>
        <w:t>.</w:t>
      </w:r>
    </w:p>
    <w:p w14:paraId="6937C294" w14:textId="77777777" w:rsidR="00247A36" w:rsidRPr="002E3586" w:rsidRDefault="00247A36">
      <w:pPr>
        <w:shd w:val="clear" w:color="auto" w:fill="FFFFFF"/>
        <w:jc w:val="both"/>
        <w:rPr>
          <w:rFonts w:ascii="Calibri" w:eastAsia="Calibri" w:hAnsi="Calibri" w:cs="Calibri"/>
        </w:rPr>
      </w:pPr>
    </w:p>
    <w:p w14:paraId="54C0E3A3" w14:textId="4E483596" w:rsidR="00151A80" w:rsidRDefault="004463F2" w:rsidP="00151A80">
      <w:pPr>
        <w:shd w:val="clear" w:color="auto" w:fill="FFFFFF"/>
        <w:jc w:val="both"/>
        <w:rPr>
          <w:rFonts w:ascii="Calibri" w:hAnsi="Calibri" w:cs="Calibri"/>
          <w:b/>
          <w:bCs/>
          <w:lang w:val="en-US"/>
        </w:rPr>
      </w:pPr>
      <w:r w:rsidRPr="002E3586">
        <w:rPr>
          <w:rFonts w:ascii="Calibri" w:hAnsi="Calibri" w:cs="Calibri"/>
          <w:lang w:val="en-US"/>
        </w:rPr>
        <w:t>‘</w:t>
      </w:r>
      <w:r w:rsidR="00A51118">
        <w:rPr>
          <w:rFonts w:ascii="Calibri" w:hAnsi="Calibri" w:cs="Calibri"/>
          <w:i/>
          <w:iCs/>
          <w:lang w:val="en-US"/>
        </w:rPr>
        <w:t>Investment volume in the retail sector have suffered slightly due to the decline in demand of foreign investors</w:t>
      </w:r>
      <w:r w:rsidRPr="002E3586">
        <w:rPr>
          <w:rFonts w:ascii="Calibri" w:hAnsi="Calibri" w:cs="Calibri"/>
          <w:i/>
          <w:iCs/>
          <w:lang w:val="en-US"/>
        </w:rPr>
        <w:t xml:space="preserve">. </w:t>
      </w:r>
      <w:r w:rsidR="00A51118">
        <w:rPr>
          <w:rFonts w:ascii="Calibri" w:hAnsi="Calibri" w:cs="Calibri"/>
          <w:i/>
          <w:iCs/>
          <w:lang w:val="en-US"/>
        </w:rPr>
        <w:t>This is</w:t>
      </w:r>
      <w:r w:rsidR="00A51118" w:rsidRPr="002E3586">
        <w:rPr>
          <w:rFonts w:ascii="Calibri" w:hAnsi="Calibri" w:cs="Calibri"/>
          <w:i/>
          <w:iCs/>
          <w:lang w:val="en-US"/>
        </w:rPr>
        <w:t xml:space="preserve"> </w:t>
      </w:r>
      <w:r w:rsidR="00A51118">
        <w:rPr>
          <w:rFonts w:ascii="Calibri" w:hAnsi="Calibri" w:cs="Calibri"/>
          <w:i/>
          <w:iCs/>
          <w:lang w:val="en-US"/>
        </w:rPr>
        <w:t>part of a wider global trend reflecting problems in the retail sector in the US, UK and other western European countries</w:t>
      </w:r>
      <w:r w:rsidRPr="002E3586">
        <w:rPr>
          <w:rFonts w:ascii="Calibri" w:hAnsi="Calibri" w:cs="Calibri"/>
          <w:i/>
          <w:iCs/>
          <w:lang w:val="en-US"/>
        </w:rPr>
        <w:t>. However, the retail market in</w:t>
      </w:r>
      <w:r w:rsidR="00C649C0">
        <w:rPr>
          <w:rFonts w:ascii="Calibri" w:hAnsi="Calibri" w:cs="Calibri"/>
          <w:i/>
          <w:iCs/>
          <w:lang w:val="en-US"/>
        </w:rPr>
        <w:t xml:space="preserve"> the Czech Republic</w:t>
      </w:r>
      <w:r w:rsidRPr="002E3586">
        <w:rPr>
          <w:rFonts w:ascii="Calibri" w:hAnsi="Calibri" w:cs="Calibri"/>
          <w:i/>
          <w:iCs/>
          <w:lang w:val="en-US"/>
        </w:rPr>
        <w:t xml:space="preserve"> is very healthy and powerful. </w:t>
      </w:r>
      <w:r w:rsidR="00A51118">
        <w:rPr>
          <w:rFonts w:ascii="Calibri" w:hAnsi="Calibri" w:cs="Calibri"/>
          <w:i/>
          <w:iCs/>
          <w:lang w:val="en-US"/>
        </w:rPr>
        <w:t>T</w:t>
      </w:r>
      <w:r w:rsidRPr="002E3586">
        <w:rPr>
          <w:rFonts w:ascii="Calibri" w:hAnsi="Calibri" w:cs="Calibri"/>
          <w:i/>
          <w:iCs/>
          <w:lang w:val="en-US"/>
        </w:rPr>
        <w:t>urnover</w:t>
      </w:r>
      <w:r w:rsidR="00A51118">
        <w:rPr>
          <w:rFonts w:ascii="Calibri" w:hAnsi="Calibri" w:cs="Calibri"/>
          <w:i/>
          <w:iCs/>
          <w:lang w:val="en-US"/>
        </w:rPr>
        <w:t>s</w:t>
      </w:r>
      <w:r w:rsidRPr="002E3586">
        <w:rPr>
          <w:rFonts w:ascii="Calibri" w:hAnsi="Calibri" w:cs="Calibri"/>
          <w:i/>
          <w:iCs/>
          <w:lang w:val="en-US"/>
        </w:rPr>
        <w:t xml:space="preserve"> in shopping </w:t>
      </w:r>
      <w:proofErr w:type="spellStart"/>
      <w:r w:rsidRPr="002E3586">
        <w:rPr>
          <w:rFonts w:ascii="Calibri" w:hAnsi="Calibri" w:cs="Calibri"/>
          <w:i/>
          <w:iCs/>
          <w:lang w:val="en-US"/>
        </w:rPr>
        <w:t>centres</w:t>
      </w:r>
      <w:proofErr w:type="spellEnd"/>
      <w:r w:rsidRPr="002E3586">
        <w:rPr>
          <w:rFonts w:ascii="Calibri" w:hAnsi="Calibri" w:cs="Calibri"/>
          <w:i/>
          <w:iCs/>
          <w:lang w:val="en-US"/>
        </w:rPr>
        <w:t xml:space="preserve"> </w:t>
      </w:r>
      <w:r w:rsidR="00A51118">
        <w:rPr>
          <w:rFonts w:ascii="Calibri" w:hAnsi="Calibri" w:cs="Calibri"/>
          <w:i/>
          <w:iCs/>
          <w:lang w:val="en-US"/>
        </w:rPr>
        <w:t>grew</w:t>
      </w:r>
      <w:r w:rsidR="00A51118" w:rsidRPr="002E3586">
        <w:rPr>
          <w:rFonts w:ascii="Calibri" w:hAnsi="Calibri" w:cs="Calibri"/>
          <w:i/>
          <w:iCs/>
          <w:lang w:val="en-US"/>
        </w:rPr>
        <w:t xml:space="preserve"> </w:t>
      </w:r>
      <w:r w:rsidRPr="002E3586">
        <w:rPr>
          <w:rFonts w:ascii="Calibri" w:hAnsi="Calibri" w:cs="Calibri"/>
          <w:i/>
          <w:iCs/>
          <w:lang w:val="en-US"/>
        </w:rPr>
        <w:t xml:space="preserve">by some 35% during the last five years, which is an </w:t>
      </w:r>
      <w:r w:rsidR="00A51118" w:rsidRPr="002E3586">
        <w:rPr>
          <w:rFonts w:ascii="Calibri" w:hAnsi="Calibri" w:cs="Calibri"/>
          <w:i/>
          <w:iCs/>
          <w:lang w:val="en-US"/>
        </w:rPr>
        <w:t>exceptiona</w:t>
      </w:r>
      <w:r w:rsidR="00A51118">
        <w:rPr>
          <w:rFonts w:ascii="Calibri" w:hAnsi="Calibri" w:cs="Calibri"/>
          <w:i/>
          <w:iCs/>
          <w:lang w:val="en-US"/>
        </w:rPr>
        <w:t xml:space="preserve">lly </w:t>
      </w:r>
      <w:r w:rsidRPr="002E3586">
        <w:rPr>
          <w:rFonts w:ascii="Calibri" w:hAnsi="Calibri" w:cs="Calibri"/>
          <w:i/>
          <w:iCs/>
          <w:lang w:val="en-US"/>
        </w:rPr>
        <w:t xml:space="preserve">positive result </w:t>
      </w:r>
      <w:r w:rsidR="00A51118">
        <w:rPr>
          <w:rFonts w:ascii="Calibri" w:hAnsi="Calibri" w:cs="Calibri"/>
          <w:i/>
          <w:iCs/>
          <w:lang w:val="en-US"/>
        </w:rPr>
        <w:t xml:space="preserve">and </w:t>
      </w:r>
      <w:r w:rsidRPr="002E3586">
        <w:rPr>
          <w:rFonts w:ascii="Calibri" w:hAnsi="Calibri" w:cs="Calibri"/>
          <w:i/>
          <w:iCs/>
          <w:lang w:val="en-US"/>
        </w:rPr>
        <w:t xml:space="preserve">why we </w:t>
      </w:r>
      <w:r w:rsidR="00A51118">
        <w:rPr>
          <w:rFonts w:ascii="Calibri" w:hAnsi="Calibri" w:cs="Calibri"/>
          <w:i/>
          <w:iCs/>
          <w:lang w:val="en-US"/>
        </w:rPr>
        <w:t xml:space="preserve">continue to </w:t>
      </w:r>
      <w:r w:rsidRPr="002E3586">
        <w:rPr>
          <w:rFonts w:ascii="Calibri" w:hAnsi="Calibri" w:cs="Calibri"/>
          <w:i/>
          <w:iCs/>
          <w:lang w:val="en-US"/>
        </w:rPr>
        <w:t xml:space="preserve">recommend investments </w:t>
      </w:r>
      <w:r w:rsidR="00A51118">
        <w:rPr>
          <w:rFonts w:ascii="Calibri" w:hAnsi="Calibri" w:cs="Calibri"/>
          <w:i/>
          <w:iCs/>
          <w:lang w:val="en-US"/>
        </w:rPr>
        <w:t>in</w:t>
      </w:r>
      <w:r w:rsidR="00A51118" w:rsidRPr="002E3586">
        <w:rPr>
          <w:rFonts w:ascii="Calibri" w:hAnsi="Calibri" w:cs="Calibri"/>
          <w:i/>
          <w:iCs/>
          <w:lang w:val="en-US"/>
        </w:rPr>
        <w:t xml:space="preserve"> </w:t>
      </w:r>
      <w:r w:rsidRPr="002E3586">
        <w:rPr>
          <w:rFonts w:ascii="Calibri" w:hAnsi="Calibri" w:cs="Calibri"/>
          <w:i/>
          <w:iCs/>
          <w:lang w:val="en-US"/>
        </w:rPr>
        <w:t>retail real estate,</w:t>
      </w:r>
      <w:r w:rsidRPr="002E3586">
        <w:rPr>
          <w:rFonts w:ascii="Calibri" w:hAnsi="Calibri" w:cs="Calibri"/>
          <w:lang w:val="en-US"/>
        </w:rPr>
        <w:t xml:space="preserve">’ comments </w:t>
      </w:r>
      <w:proofErr w:type="spellStart"/>
      <w:proofErr w:type="gramStart"/>
      <w:r w:rsidRPr="002E3586">
        <w:rPr>
          <w:rFonts w:ascii="Calibri" w:hAnsi="Calibri" w:cs="Calibri"/>
          <w:b/>
          <w:bCs/>
          <w:lang w:val="en-US"/>
        </w:rPr>
        <w:t>Katarína</w:t>
      </w:r>
      <w:proofErr w:type="spellEnd"/>
      <w:r w:rsidR="002A145B">
        <w:rPr>
          <w:rFonts w:ascii="Calibri" w:hAnsi="Calibri" w:cs="Calibri"/>
          <w:b/>
          <w:bCs/>
          <w:lang w:val="en-US"/>
        </w:rPr>
        <w:t xml:space="preserve"> </w:t>
      </w:r>
      <w:r w:rsidRPr="002E3586">
        <w:rPr>
          <w:rFonts w:ascii="Calibri" w:hAnsi="Calibri" w:cs="Calibri"/>
          <w:b/>
          <w:bCs/>
          <w:lang w:val="en-US"/>
        </w:rPr>
        <w:t xml:space="preserve"> </w:t>
      </w:r>
      <w:proofErr w:type="spellStart"/>
      <w:r w:rsidRPr="002E3586">
        <w:rPr>
          <w:rFonts w:ascii="Calibri" w:hAnsi="Calibri" w:cs="Calibri"/>
          <w:b/>
          <w:bCs/>
          <w:lang w:val="en-US"/>
        </w:rPr>
        <w:t>Brydone</w:t>
      </w:r>
      <w:proofErr w:type="spellEnd"/>
      <w:proofErr w:type="gramEnd"/>
      <w:r w:rsidRPr="002E3586">
        <w:rPr>
          <w:rFonts w:ascii="Calibri" w:hAnsi="Calibri" w:cs="Calibri"/>
          <w:b/>
          <w:bCs/>
          <w:lang w:val="en-US"/>
        </w:rPr>
        <w:t>, Head of Retail at CBRE.</w:t>
      </w:r>
    </w:p>
    <w:p w14:paraId="09C6AD31" w14:textId="25EEEF85" w:rsidR="00151A80" w:rsidRDefault="00151A80" w:rsidP="00151A80">
      <w:pPr>
        <w:shd w:val="clear" w:color="auto" w:fill="FFFFFF"/>
        <w:jc w:val="both"/>
        <w:rPr>
          <w:rFonts w:ascii="Calibri" w:hAnsi="Calibri" w:cs="Calibri"/>
          <w:b/>
          <w:bCs/>
          <w:lang w:val="en-US"/>
        </w:rPr>
      </w:pPr>
    </w:p>
    <w:p w14:paraId="5A677611" w14:textId="4E293F38" w:rsidR="00151A80" w:rsidRDefault="00151A80" w:rsidP="00151A80">
      <w:pPr>
        <w:shd w:val="clear" w:color="auto" w:fill="FFFFFF"/>
        <w:jc w:val="both"/>
        <w:rPr>
          <w:rFonts w:ascii="Calibri" w:hAnsi="Calibri" w:cs="Calibri"/>
          <w:b/>
          <w:bCs/>
          <w:lang w:val="en-US"/>
        </w:rPr>
      </w:pPr>
    </w:p>
    <w:p w14:paraId="068CC1AC" w14:textId="62ADF6E2" w:rsidR="00022BA2" w:rsidRPr="00022BA2" w:rsidRDefault="00924101" w:rsidP="00022BA2">
      <w:pPr>
        <w:shd w:val="clear" w:color="auto" w:fill="FFFFFF"/>
        <w:jc w:val="both"/>
        <w:rPr>
          <w:rFonts w:ascii="Calibri" w:eastAsia="Calibri" w:hAnsi="Calibri" w:cs="Calibri"/>
          <w:i/>
          <w:iCs/>
        </w:rPr>
      </w:pPr>
      <w:r w:rsidRPr="00924101">
        <w:rPr>
          <w:rFonts w:ascii="Calibri" w:eastAsia="Calibri" w:hAnsi="Calibri" w:cs="Calibri"/>
          <w:b/>
          <w:bCs/>
        </w:rPr>
        <w:t xml:space="preserve">Jakub Stanislav, </w:t>
      </w:r>
      <w:proofErr w:type="spellStart"/>
      <w:r w:rsidRPr="00924101">
        <w:rPr>
          <w:rFonts w:ascii="Calibri" w:eastAsia="Calibri" w:hAnsi="Calibri" w:cs="Calibri"/>
          <w:b/>
          <w:bCs/>
        </w:rPr>
        <w:t>Investment</w:t>
      </w:r>
      <w:proofErr w:type="spellEnd"/>
      <w:r w:rsidRPr="00924101">
        <w:rPr>
          <w:rFonts w:ascii="Calibri" w:eastAsia="Calibri" w:hAnsi="Calibri" w:cs="Calibri"/>
          <w:b/>
          <w:bCs/>
        </w:rPr>
        <w:t xml:space="preserve"> </w:t>
      </w:r>
      <w:proofErr w:type="spellStart"/>
      <w:r w:rsidRPr="00924101">
        <w:rPr>
          <w:rFonts w:ascii="Calibri" w:eastAsia="Calibri" w:hAnsi="Calibri" w:cs="Calibri"/>
          <w:b/>
          <w:bCs/>
        </w:rPr>
        <w:t>Properties</w:t>
      </w:r>
      <w:proofErr w:type="spellEnd"/>
      <w:r w:rsidRPr="00924101">
        <w:rPr>
          <w:rFonts w:ascii="Calibri" w:eastAsia="Calibri" w:hAnsi="Calibri" w:cs="Calibri"/>
          <w:b/>
          <w:bCs/>
        </w:rPr>
        <w:t xml:space="preserve"> &amp; CEE </w:t>
      </w:r>
      <w:proofErr w:type="spellStart"/>
      <w:r w:rsidRPr="00924101">
        <w:rPr>
          <w:rFonts w:ascii="Calibri" w:eastAsia="Calibri" w:hAnsi="Calibri" w:cs="Calibri"/>
          <w:b/>
          <w:bCs/>
        </w:rPr>
        <w:t>Hotels</w:t>
      </w:r>
      <w:proofErr w:type="spellEnd"/>
      <w:r w:rsidRPr="00924101">
        <w:rPr>
          <w:rFonts w:ascii="Calibri" w:eastAsia="Calibri" w:hAnsi="Calibri" w:cs="Calibri"/>
          <w:b/>
          <w:bCs/>
        </w:rPr>
        <w:t xml:space="preserve"> </w:t>
      </w:r>
      <w:proofErr w:type="spellStart"/>
      <w:r w:rsidRPr="00924101">
        <w:rPr>
          <w:rFonts w:ascii="Calibri" w:eastAsia="Calibri" w:hAnsi="Calibri" w:cs="Calibri"/>
          <w:b/>
          <w:bCs/>
        </w:rPr>
        <w:t>Director</w:t>
      </w:r>
      <w:proofErr w:type="spellEnd"/>
      <w:r w:rsidRPr="00924101">
        <w:rPr>
          <w:rFonts w:ascii="Calibri" w:eastAsia="Calibri" w:hAnsi="Calibri" w:cs="Calibri"/>
        </w:rPr>
        <w:t xml:space="preserve">, </w:t>
      </w:r>
      <w:proofErr w:type="spellStart"/>
      <w:r w:rsidRPr="00924101">
        <w:rPr>
          <w:rFonts w:ascii="Calibri" w:eastAsia="Calibri" w:hAnsi="Calibri" w:cs="Calibri"/>
        </w:rPr>
        <w:t>adds</w:t>
      </w:r>
      <w:proofErr w:type="spellEnd"/>
      <w:r w:rsidRPr="00924101">
        <w:rPr>
          <w:rFonts w:ascii="Calibri" w:eastAsia="Calibri" w:hAnsi="Calibri" w:cs="Calibri"/>
        </w:rPr>
        <w:t>:</w:t>
      </w:r>
      <w:r>
        <w:rPr>
          <w:rFonts w:ascii="Calibri" w:eastAsia="Calibri" w:hAnsi="Calibri" w:cs="Calibri"/>
          <w:i/>
          <w:iCs/>
        </w:rPr>
        <w:t xml:space="preserve"> </w:t>
      </w:r>
      <w:r w:rsidR="00022BA2" w:rsidRPr="00022BA2">
        <w:rPr>
          <w:rFonts w:ascii="Calibri" w:eastAsia="Calibri" w:hAnsi="Calibri" w:cs="Calibri"/>
          <w:i/>
          <w:iCs/>
        </w:rPr>
        <w:t>“</w:t>
      </w:r>
      <w:proofErr w:type="spellStart"/>
      <w:r w:rsidR="00022BA2" w:rsidRPr="00022BA2">
        <w:rPr>
          <w:rFonts w:ascii="Calibri" w:eastAsia="Calibri" w:hAnsi="Calibri" w:cs="Calibri"/>
          <w:i/>
          <w:iCs/>
        </w:rPr>
        <w:t>We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have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seen</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strong</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interest</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across</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risk profile in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hotel </w:t>
      </w:r>
      <w:proofErr w:type="spellStart"/>
      <w:r w:rsidR="00022BA2" w:rsidRPr="00022BA2">
        <w:rPr>
          <w:rFonts w:ascii="Calibri" w:eastAsia="Calibri" w:hAnsi="Calibri" w:cs="Calibri"/>
          <w:i/>
          <w:iCs/>
        </w:rPr>
        <w:t>sector</w:t>
      </w:r>
      <w:proofErr w:type="spellEnd"/>
      <w:r w:rsidR="00022BA2" w:rsidRPr="00022BA2">
        <w:rPr>
          <w:rFonts w:ascii="Calibri" w:eastAsia="Calibri" w:hAnsi="Calibri" w:cs="Calibri"/>
          <w:i/>
          <w:iCs/>
        </w:rPr>
        <w:t xml:space="preserve"> in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region </w:t>
      </w:r>
      <w:proofErr w:type="spellStart"/>
      <w:r w:rsidR="00022BA2" w:rsidRPr="00022BA2">
        <w:rPr>
          <w:rFonts w:ascii="Calibri" w:eastAsia="Calibri" w:hAnsi="Calibri" w:cs="Calibri"/>
          <w:i/>
          <w:iCs/>
        </w:rPr>
        <w:t>from</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core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leased</w:t>
      </w:r>
      <w:proofErr w:type="spellEnd"/>
      <w:r w:rsidR="00022BA2" w:rsidRPr="00022BA2">
        <w:rPr>
          <w:rFonts w:ascii="Calibri" w:eastAsia="Calibri" w:hAnsi="Calibri" w:cs="Calibri"/>
          <w:i/>
          <w:iCs/>
        </w:rPr>
        <w:t xml:space="preserve"> hotel </w:t>
      </w:r>
      <w:proofErr w:type="spellStart"/>
      <w:r w:rsidR="00022BA2" w:rsidRPr="00022BA2">
        <w:rPr>
          <w:rFonts w:ascii="Calibri" w:eastAsia="Calibri" w:hAnsi="Calibri" w:cs="Calibri"/>
          <w:i/>
          <w:iCs/>
        </w:rPr>
        <w:t>product</w:t>
      </w:r>
      <w:proofErr w:type="spellEnd"/>
      <w:r w:rsidR="00022BA2" w:rsidRPr="00022BA2">
        <w:rPr>
          <w:rFonts w:ascii="Calibri" w:eastAsia="Calibri" w:hAnsi="Calibri" w:cs="Calibri"/>
          <w:i/>
          <w:iCs/>
        </w:rPr>
        <w:t xml:space="preserve"> to </w:t>
      </w:r>
      <w:proofErr w:type="spellStart"/>
      <w:r w:rsidR="00022BA2" w:rsidRPr="00022BA2">
        <w:rPr>
          <w:rFonts w:ascii="Calibri" w:eastAsia="Calibri" w:hAnsi="Calibri" w:cs="Calibri"/>
          <w:i/>
          <w:iCs/>
        </w:rPr>
        <w:lastRenderedPageBreak/>
        <w:t>properties</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with</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potential</w:t>
      </w:r>
      <w:proofErr w:type="spellEnd"/>
      <w:r w:rsidR="00022BA2" w:rsidRPr="00022BA2">
        <w:rPr>
          <w:rFonts w:ascii="Calibri" w:eastAsia="Calibri" w:hAnsi="Calibri" w:cs="Calibri"/>
          <w:i/>
          <w:iCs/>
        </w:rPr>
        <w:t xml:space="preserve"> to </w:t>
      </w:r>
      <w:proofErr w:type="spellStart"/>
      <w:r w:rsidR="00022BA2" w:rsidRPr="00022BA2">
        <w:rPr>
          <w:rFonts w:ascii="Calibri" w:eastAsia="Calibri" w:hAnsi="Calibri" w:cs="Calibri"/>
          <w:i/>
          <w:iCs/>
        </w:rPr>
        <w:t>unlock</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upside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through</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renegotiating</w:t>
      </w:r>
      <w:proofErr w:type="spellEnd"/>
      <w:r w:rsidR="00022BA2" w:rsidRPr="00022BA2">
        <w:rPr>
          <w:rFonts w:ascii="Calibri" w:eastAsia="Calibri" w:hAnsi="Calibri" w:cs="Calibri"/>
          <w:i/>
          <w:iCs/>
        </w:rPr>
        <w:t xml:space="preserve"> management </w:t>
      </w:r>
      <w:proofErr w:type="spellStart"/>
      <w:r w:rsidR="00022BA2" w:rsidRPr="00022BA2">
        <w:rPr>
          <w:rFonts w:ascii="Calibri" w:eastAsia="Calibri" w:hAnsi="Calibri" w:cs="Calibri"/>
          <w:i/>
          <w:iCs/>
        </w:rPr>
        <w:t>agreements</w:t>
      </w:r>
      <w:proofErr w:type="spellEnd"/>
      <w:r w:rsidR="00022BA2" w:rsidRPr="00022BA2">
        <w:rPr>
          <w:rFonts w:ascii="Calibri" w:eastAsia="Calibri" w:hAnsi="Calibri" w:cs="Calibri"/>
          <w:i/>
          <w:iCs/>
        </w:rPr>
        <w:t xml:space="preserve"> and </w:t>
      </w:r>
      <w:proofErr w:type="spellStart"/>
      <w:r w:rsidR="00022BA2" w:rsidRPr="00022BA2">
        <w:rPr>
          <w:rFonts w:ascii="Calibri" w:eastAsia="Calibri" w:hAnsi="Calibri" w:cs="Calibri"/>
          <w:i/>
          <w:iCs/>
        </w:rPr>
        <w:t>rebranding</w:t>
      </w:r>
      <w:proofErr w:type="spellEnd"/>
      <w:r w:rsidR="00022BA2" w:rsidRPr="00022BA2">
        <w:rPr>
          <w:rFonts w:ascii="Calibri" w:eastAsia="Calibri" w:hAnsi="Calibri" w:cs="Calibri"/>
          <w:i/>
          <w:iCs/>
        </w:rPr>
        <w:t xml:space="preserve">. In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residential</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sector</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we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have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seen</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transaction</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volumes</w:t>
      </w:r>
      <w:proofErr w:type="spellEnd"/>
      <w:r w:rsidR="00022BA2" w:rsidRPr="00022BA2">
        <w:rPr>
          <w:rFonts w:ascii="Calibri" w:eastAsia="Calibri" w:hAnsi="Calibri" w:cs="Calibri"/>
          <w:i/>
          <w:iCs/>
        </w:rPr>
        <w:t xml:space="preserve"> triple </w:t>
      </w:r>
      <w:proofErr w:type="spellStart"/>
      <w:r w:rsidR="00022BA2" w:rsidRPr="00022BA2">
        <w:rPr>
          <w:rFonts w:ascii="Calibri" w:eastAsia="Calibri" w:hAnsi="Calibri" w:cs="Calibri"/>
          <w:i/>
          <w:iCs/>
        </w:rPr>
        <w:t>across</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Europe</w:t>
      </w:r>
      <w:proofErr w:type="spellEnd"/>
      <w:r w:rsidR="00022BA2" w:rsidRPr="00022BA2">
        <w:rPr>
          <w:rFonts w:ascii="Calibri" w:eastAsia="Calibri" w:hAnsi="Calibri" w:cs="Calibri"/>
          <w:i/>
          <w:iCs/>
        </w:rPr>
        <w:t xml:space="preserve"> in just </w:t>
      </w:r>
      <w:proofErr w:type="spellStart"/>
      <w:r w:rsidR="00022BA2" w:rsidRPr="00022BA2">
        <w:rPr>
          <w:rFonts w:ascii="Calibri" w:eastAsia="Calibri" w:hAnsi="Calibri" w:cs="Calibri"/>
          <w:i/>
          <w:iCs/>
        </w:rPr>
        <w:t>over</w:t>
      </w:r>
      <w:proofErr w:type="spellEnd"/>
      <w:r w:rsidR="00022BA2" w:rsidRPr="00022BA2">
        <w:rPr>
          <w:rFonts w:ascii="Calibri" w:eastAsia="Calibri" w:hAnsi="Calibri" w:cs="Calibri"/>
          <w:i/>
          <w:iCs/>
        </w:rPr>
        <w:t xml:space="preserve"> 10 </w:t>
      </w:r>
      <w:proofErr w:type="spellStart"/>
      <w:r w:rsidR="00022BA2" w:rsidRPr="00022BA2">
        <w:rPr>
          <w:rFonts w:ascii="Calibri" w:eastAsia="Calibri" w:hAnsi="Calibri" w:cs="Calibri"/>
          <w:i/>
          <w:iCs/>
        </w:rPr>
        <w:t>years</w:t>
      </w:r>
      <w:proofErr w:type="spellEnd"/>
      <w:r w:rsidR="00022BA2" w:rsidRPr="00022BA2">
        <w:rPr>
          <w:rFonts w:ascii="Calibri" w:eastAsia="Calibri" w:hAnsi="Calibri" w:cs="Calibri"/>
          <w:i/>
          <w:iCs/>
        </w:rPr>
        <w:t xml:space="preserve"> and </w:t>
      </w:r>
      <w:proofErr w:type="spellStart"/>
      <w:r w:rsidR="00022BA2" w:rsidRPr="00022BA2">
        <w:rPr>
          <w:rFonts w:ascii="Calibri" w:eastAsia="Calibri" w:hAnsi="Calibri" w:cs="Calibri"/>
          <w:i/>
          <w:iCs/>
        </w:rPr>
        <w:t>that</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demand</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is</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finally</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starting</w:t>
      </w:r>
      <w:proofErr w:type="spellEnd"/>
      <w:r w:rsidR="00022BA2" w:rsidRPr="00022BA2">
        <w:rPr>
          <w:rFonts w:ascii="Calibri" w:eastAsia="Calibri" w:hAnsi="Calibri" w:cs="Calibri"/>
          <w:i/>
          <w:iCs/>
        </w:rPr>
        <w:t xml:space="preserve"> to hit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Czech market.  </w:t>
      </w:r>
      <w:proofErr w:type="spellStart"/>
      <w:r w:rsidR="00022BA2" w:rsidRPr="00022BA2">
        <w:rPr>
          <w:rFonts w:ascii="Calibri" w:eastAsia="Calibri" w:hAnsi="Calibri" w:cs="Calibri"/>
          <w:i/>
          <w:iCs/>
        </w:rPr>
        <w:t>We</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expect</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the</w:t>
      </w:r>
      <w:proofErr w:type="spellEnd"/>
      <w:r w:rsidR="00022BA2" w:rsidRPr="00022BA2">
        <w:rPr>
          <w:rFonts w:ascii="Calibri" w:eastAsia="Calibri" w:hAnsi="Calibri" w:cs="Calibri"/>
          <w:i/>
          <w:iCs/>
        </w:rPr>
        <w:t xml:space="preserve"> </w:t>
      </w:r>
      <w:r w:rsidR="005745EE">
        <w:rPr>
          <w:rFonts w:ascii="Calibri" w:eastAsia="Calibri" w:hAnsi="Calibri" w:cs="Calibri"/>
          <w:i/>
          <w:iCs/>
        </w:rPr>
        <w:t xml:space="preserve">hotel </w:t>
      </w:r>
      <w:proofErr w:type="spellStart"/>
      <w:r w:rsidR="00022BA2" w:rsidRPr="00022BA2">
        <w:rPr>
          <w:rFonts w:ascii="Calibri" w:eastAsia="Calibri" w:hAnsi="Calibri" w:cs="Calibri"/>
          <w:i/>
          <w:iCs/>
        </w:rPr>
        <w:t>sector</w:t>
      </w:r>
      <w:proofErr w:type="spellEnd"/>
      <w:r w:rsidR="00022BA2" w:rsidRPr="00022BA2">
        <w:rPr>
          <w:rFonts w:ascii="Calibri" w:eastAsia="Calibri" w:hAnsi="Calibri" w:cs="Calibri"/>
          <w:i/>
          <w:iCs/>
        </w:rPr>
        <w:t xml:space="preserve"> and </w:t>
      </w:r>
      <w:proofErr w:type="spellStart"/>
      <w:r w:rsidR="00022BA2" w:rsidRPr="00022BA2">
        <w:rPr>
          <w:rFonts w:ascii="Calibri" w:eastAsia="Calibri" w:hAnsi="Calibri" w:cs="Calibri"/>
          <w:i/>
          <w:iCs/>
        </w:rPr>
        <w:t>residential</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investment</w:t>
      </w:r>
      <w:proofErr w:type="spellEnd"/>
      <w:r w:rsidR="00022BA2" w:rsidRPr="00022BA2">
        <w:rPr>
          <w:rFonts w:ascii="Calibri" w:eastAsia="Calibri" w:hAnsi="Calibri" w:cs="Calibri"/>
          <w:i/>
          <w:iCs/>
        </w:rPr>
        <w:t xml:space="preserve"> to </w:t>
      </w:r>
      <w:proofErr w:type="spellStart"/>
      <w:r w:rsidR="00022BA2" w:rsidRPr="00022BA2">
        <w:rPr>
          <w:rFonts w:ascii="Calibri" w:eastAsia="Calibri" w:hAnsi="Calibri" w:cs="Calibri"/>
          <w:i/>
          <w:iCs/>
        </w:rPr>
        <w:t>grow</w:t>
      </w:r>
      <w:proofErr w:type="spellEnd"/>
      <w:r w:rsidR="00022BA2" w:rsidRPr="00022BA2">
        <w:rPr>
          <w:rFonts w:ascii="Calibri" w:eastAsia="Calibri" w:hAnsi="Calibri" w:cs="Calibri"/>
          <w:i/>
          <w:iCs/>
        </w:rPr>
        <w:t xml:space="preserve"> </w:t>
      </w:r>
      <w:proofErr w:type="spellStart"/>
      <w:r w:rsidR="00022BA2" w:rsidRPr="00022BA2">
        <w:rPr>
          <w:rFonts w:ascii="Calibri" w:eastAsia="Calibri" w:hAnsi="Calibri" w:cs="Calibri"/>
          <w:i/>
          <w:iCs/>
        </w:rPr>
        <w:t>significantly</w:t>
      </w:r>
      <w:proofErr w:type="spellEnd"/>
      <w:r w:rsidR="00022BA2" w:rsidRPr="00022BA2">
        <w:rPr>
          <w:rFonts w:ascii="Calibri" w:eastAsia="Calibri" w:hAnsi="Calibri" w:cs="Calibri"/>
          <w:i/>
          <w:iCs/>
        </w:rPr>
        <w:t xml:space="preserve"> in 2020.”</w:t>
      </w:r>
    </w:p>
    <w:p w14:paraId="1F6B2767" w14:textId="6CD36F02" w:rsidR="00151A80" w:rsidRDefault="00151A80" w:rsidP="00151A80">
      <w:pPr>
        <w:shd w:val="clear" w:color="auto" w:fill="FFFFFF"/>
        <w:jc w:val="both"/>
        <w:rPr>
          <w:rFonts w:ascii="Calibri" w:hAnsi="Calibri" w:cs="Calibri"/>
          <w:b/>
          <w:bCs/>
          <w:lang w:val="en-US"/>
        </w:rPr>
      </w:pPr>
    </w:p>
    <w:p w14:paraId="63C6ACE9" w14:textId="475E72DE" w:rsidR="00247A36" w:rsidRDefault="004463F2">
      <w:pPr>
        <w:shd w:val="clear" w:color="auto" w:fill="FFFFFF"/>
        <w:spacing w:line="276" w:lineRule="auto"/>
        <w:jc w:val="center"/>
        <w:rPr>
          <w:rFonts w:ascii="Calibri" w:hAnsi="Calibri" w:cs="Calibri"/>
          <w:b/>
          <w:bCs/>
        </w:rPr>
      </w:pPr>
      <w:r w:rsidRPr="00151A80">
        <w:rPr>
          <w:rFonts w:ascii="Calibri" w:hAnsi="Calibri" w:cs="Calibri"/>
          <w:b/>
          <w:bCs/>
        </w:rPr>
        <w:t xml:space="preserve">5 </w:t>
      </w:r>
      <w:r w:rsidRPr="00151A80">
        <w:rPr>
          <w:rFonts w:ascii="Calibri" w:hAnsi="Calibri" w:cs="Calibri"/>
          <w:b/>
          <w:bCs/>
          <w:lang w:val="en-US"/>
        </w:rPr>
        <w:t xml:space="preserve">biggest transactions in </w:t>
      </w:r>
      <w:r w:rsidR="002E3586" w:rsidRPr="00151A80">
        <w:rPr>
          <w:rFonts w:ascii="Calibri" w:hAnsi="Calibri" w:cs="Calibri"/>
          <w:b/>
          <w:bCs/>
          <w:lang w:val="en-US"/>
        </w:rPr>
        <w:t>the Czech Republic</w:t>
      </w:r>
      <w:r w:rsidRPr="00151A80">
        <w:rPr>
          <w:rFonts w:ascii="Calibri" w:hAnsi="Calibri" w:cs="Calibri"/>
          <w:b/>
          <w:bCs/>
          <w:lang w:val="en-US"/>
        </w:rPr>
        <w:t xml:space="preserve"> in </w:t>
      </w:r>
      <w:r w:rsidRPr="00151A80">
        <w:rPr>
          <w:rFonts w:ascii="Calibri" w:hAnsi="Calibri" w:cs="Calibri"/>
          <w:b/>
          <w:bCs/>
        </w:rPr>
        <w:t>2019</w:t>
      </w:r>
    </w:p>
    <w:p w14:paraId="0D69966D" w14:textId="77777777" w:rsidR="008C756E" w:rsidRPr="00151A80" w:rsidRDefault="008C756E">
      <w:pPr>
        <w:shd w:val="clear" w:color="auto" w:fill="FFFFFF"/>
        <w:spacing w:line="276" w:lineRule="auto"/>
        <w:jc w:val="center"/>
        <w:rPr>
          <w:rFonts w:ascii="Calibri" w:eastAsia="Helvetica" w:hAnsi="Calibri" w:cs="Calibri"/>
          <w:b/>
          <w:bCs/>
        </w:rPr>
      </w:pPr>
    </w:p>
    <w:tbl>
      <w:tblPr>
        <w:tblStyle w:val="TableNormal1"/>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82"/>
        <w:gridCol w:w="1940"/>
        <w:gridCol w:w="1560"/>
        <w:gridCol w:w="3144"/>
        <w:gridCol w:w="2004"/>
      </w:tblGrid>
      <w:tr w:rsidR="00247A36" w:rsidRPr="003633EB" w14:paraId="44F136A8" w14:textId="77777777" w:rsidTr="0098569F">
        <w:trPr>
          <w:trHeight w:val="38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E45071" w14:textId="77777777" w:rsidR="00247A36" w:rsidRPr="003633EB" w:rsidRDefault="004463F2">
            <w:pPr>
              <w:rPr>
                <w:rFonts w:ascii="Calibri" w:hAnsi="Calibri" w:cs="Calibri"/>
                <w:sz w:val="22"/>
                <w:szCs w:val="22"/>
              </w:rPr>
            </w:pPr>
            <w:r w:rsidRPr="003633EB">
              <w:rPr>
                <w:rFonts w:ascii="Calibri" w:hAnsi="Calibri" w:cs="Calibri"/>
                <w:b/>
                <w:bCs/>
                <w:sz w:val="22"/>
                <w:szCs w:val="22"/>
                <w:lang w:val="en-US"/>
              </w:rPr>
              <w:t xml:space="preserve">Quarter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EEEB2B" w14:textId="77777777" w:rsidR="00247A36" w:rsidRPr="003633EB" w:rsidRDefault="004463F2">
            <w:pPr>
              <w:rPr>
                <w:rFonts w:ascii="Calibri" w:hAnsi="Calibri" w:cs="Calibri"/>
                <w:sz w:val="22"/>
                <w:szCs w:val="22"/>
              </w:rPr>
            </w:pPr>
            <w:r w:rsidRPr="003633EB">
              <w:rPr>
                <w:rFonts w:ascii="Calibri" w:hAnsi="Calibri" w:cs="Calibri"/>
                <w:b/>
                <w:bCs/>
                <w:sz w:val="22"/>
                <w:szCs w:val="22"/>
                <w:lang w:val="en-US"/>
              </w:rPr>
              <w:t>Name of real estate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C0D4F2" w14:textId="77777777" w:rsidR="00247A36" w:rsidRPr="003633EB" w:rsidRDefault="004463F2">
            <w:pPr>
              <w:jc w:val="center"/>
              <w:rPr>
                <w:rFonts w:ascii="Calibri" w:hAnsi="Calibri" w:cs="Calibri"/>
                <w:sz w:val="22"/>
                <w:szCs w:val="22"/>
              </w:rPr>
            </w:pPr>
            <w:r w:rsidRPr="003633EB">
              <w:rPr>
                <w:rFonts w:ascii="Calibri" w:hAnsi="Calibri" w:cs="Calibri"/>
                <w:b/>
                <w:bCs/>
                <w:sz w:val="22"/>
                <w:szCs w:val="22"/>
                <w:lang w:val="en-US"/>
              </w:rPr>
              <w:t>Price</w:t>
            </w:r>
            <w:r w:rsidRPr="003633EB">
              <w:rPr>
                <w:rFonts w:ascii="Calibri" w:hAnsi="Calibri" w:cs="Calibri"/>
                <w:b/>
                <w:bCs/>
                <w:sz w:val="22"/>
                <w:szCs w:val="22"/>
              </w:rPr>
              <w:t xml:space="preserve"> (</w:t>
            </w:r>
            <w:r w:rsidRPr="003633EB">
              <w:rPr>
                <w:rFonts w:ascii="Calibri" w:hAnsi="Calibri" w:cs="Calibri"/>
                <w:b/>
                <w:bCs/>
                <w:sz w:val="22"/>
                <w:szCs w:val="22"/>
                <w:lang w:val="en-US"/>
              </w:rPr>
              <w:t>millions</w:t>
            </w:r>
            <w:r w:rsidRPr="003633EB">
              <w:rPr>
                <w:rFonts w:ascii="Calibri" w:hAnsi="Calibri" w:cs="Calibri"/>
                <w:b/>
                <w:bCs/>
                <w:sz w:val="22"/>
                <w:szCs w:val="22"/>
              </w:rPr>
              <w:t xml:space="preserve"> EUR)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B6195D" w14:textId="77777777" w:rsidR="00247A36" w:rsidRPr="003633EB" w:rsidRDefault="004463F2">
            <w:pPr>
              <w:jc w:val="center"/>
              <w:rPr>
                <w:rFonts w:ascii="Calibri" w:hAnsi="Calibri" w:cs="Calibri"/>
                <w:sz w:val="22"/>
                <w:szCs w:val="22"/>
              </w:rPr>
            </w:pPr>
            <w:r w:rsidRPr="003633EB">
              <w:rPr>
                <w:rFonts w:ascii="Calibri" w:hAnsi="Calibri" w:cs="Calibri"/>
                <w:b/>
                <w:bCs/>
                <w:sz w:val="22"/>
                <w:szCs w:val="22"/>
                <w:lang w:val="en-US"/>
              </w:rPr>
              <w:t>Buyer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7C945" w14:textId="77777777" w:rsidR="00247A36" w:rsidRPr="003633EB" w:rsidRDefault="004463F2">
            <w:pPr>
              <w:jc w:val="center"/>
              <w:rPr>
                <w:rFonts w:ascii="Calibri" w:hAnsi="Calibri" w:cs="Calibri"/>
                <w:sz w:val="22"/>
                <w:szCs w:val="22"/>
              </w:rPr>
            </w:pPr>
            <w:r w:rsidRPr="003633EB">
              <w:rPr>
                <w:rFonts w:ascii="Calibri" w:hAnsi="Calibri" w:cs="Calibri"/>
                <w:b/>
                <w:bCs/>
                <w:sz w:val="22"/>
                <w:szCs w:val="22"/>
                <w:lang w:val="en-US"/>
              </w:rPr>
              <w:t>Seller</w:t>
            </w:r>
          </w:p>
        </w:tc>
      </w:tr>
      <w:tr w:rsidR="00247A36" w:rsidRPr="003633EB" w14:paraId="16D19DA7" w14:textId="77777777" w:rsidTr="0098569F">
        <w:trPr>
          <w:trHeight w:val="24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CA95A8" w14:textId="77777777" w:rsidR="00247A36" w:rsidRPr="003633EB" w:rsidRDefault="004463F2">
            <w:pPr>
              <w:jc w:val="center"/>
              <w:rPr>
                <w:rFonts w:ascii="Calibri" w:hAnsi="Calibri" w:cs="Calibri"/>
                <w:sz w:val="22"/>
                <w:szCs w:val="22"/>
              </w:rPr>
            </w:pPr>
            <w:r w:rsidRPr="003633EB">
              <w:rPr>
                <w:rFonts w:ascii="Calibri" w:hAnsi="Calibri" w:cs="Calibri"/>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DC4AF0" w14:textId="77777777" w:rsidR="00247A36" w:rsidRPr="003633EB" w:rsidRDefault="004463F2">
            <w:pPr>
              <w:rPr>
                <w:rFonts w:ascii="Calibri" w:hAnsi="Calibri" w:cs="Calibri"/>
                <w:sz w:val="22"/>
                <w:szCs w:val="22"/>
              </w:rPr>
            </w:pPr>
            <w:r w:rsidRPr="003633EB">
              <w:rPr>
                <w:rFonts w:ascii="Calibri" w:hAnsi="Calibri" w:cs="Calibri"/>
                <w:sz w:val="22"/>
                <w:szCs w:val="22"/>
                <w:lang w:val="it-IT"/>
              </w:rPr>
              <w:t>Waltrovka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33AB3D" w14:textId="77777777" w:rsidR="00247A36" w:rsidRPr="003633EB" w:rsidRDefault="004463F2">
            <w:pPr>
              <w:rPr>
                <w:rFonts w:ascii="Calibri" w:hAnsi="Calibri" w:cs="Calibri"/>
                <w:sz w:val="22"/>
                <w:szCs w:val="22"/>
              </w:rPr>
            </w:pPr>
            <w:r w:rsidRPr="003633EB">
              <w:rPr>
                <w:rFonts w:ascii="Calibri" w:hAnsi="Calibri" w:cs="Calibri"/>
                <w:sz w:val="22"/>
                <w:szCs w:val="22"/>
              </w:rPr>
              <w:t>250-260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3CF2AB"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Hanwha Investment &amp; Securities (GLL)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3643BE" w14:textId="77777777" w:rsidR="00247A36" w:rsidRPr="003633EB" w:rsidRDefault="004463F2">
            <w:pPr>
              <w:rPr>
                <w:rFonts w:ascii="Calibri" w:hAnsi="Calibri" w:cs="Calibri"/>
                <w:sz w:val="22"/>
                <w:szCs w:val="22"/>
              </w:rPr>
            </w:pPr>
            <w:proofErr w:type="spellStart"/>
            <w:r w:rsidRPr="003633EB">
              <w:rPr>
                <w:rFonts w:ascii="Calibri" w:hAnsi="Calibri" w:cs="Calibri"/>
                <w:sz w:val="22"/>
                <w:szCs w:val="22"/>
              </w:rPr>
              <w:t>Penta</w:t>
            </w:r>
            <w:proofErr w:type="spellEnd"/>
          </w:p>
        </w:tc>
      </w:tr>
      <w:tr w:rsidR="00247A36" w:rsidRPr="003633EB" w14:paraId="7C5BD215" w14:textId="77777777" w:rsidTr="0098569F">
        <w:trPr>
          <w:trHeight w:val="37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99CA0B" w14:textId="77777777" w:rsidR="00247A36" w:rsidRPr="003633EB" w:rsidRDefault="004463F2">
            <w:pPr>
              <w:jc w:val="center"/>
              <w:rPr>
                <w:rFonts w:ascii="Calibri" w:hAnsi="Calibri" w:cs="Calibri"/>
                <w:sz w:val="22"/>
                <w:szCs w:val="22"/>
              </w:rPr>
            </w:pPr>
            <w:r w:rsidRPr="003633EB">
              <w:rPr>
                <w:rFonts w:ascii="Calibri" w:hAnsi="Calibri" w:cs="Calibri"/>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8A837" w14:textId="77777777" w:rsidR="00247A36" w:rsidRPr="003633EB" w:rsidRDefault="004463F2">
            <w:pPr>
              <w:rPr>
                <w:rFonts w:ascii="Calibri" w:hAnsi="Calibri" w:cs="Calibri"/>
                <w:sz w:val="22"/>
                <w:szCs w:val="22"/>
              </w:rPr>
            </w:pPr>
            <w:r w:rsidRPr="003633EB">
              <w:rPr>
                <w:rFonts w:ascii="Calibri" w:hAnsi="Calibri" w:cs="Calibri"/>
                <w:sz w:val="22"/>
                <w:szCs w:val="22"/>
                <w:lang w:val="it-IT"/>
              </w:rPr>
              <w:t>Hotel Intercontinental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8A23DE" w14:textId="77777777" w:rsidR="00247A36" w:rsidRPr="003633EB" w:rsidRDefault="004463F2">
            <w:pPr>
              <w:rPr>
                <w:rFonts w:ascii="Calibri" w:hAnsi="Calibri" w:cs="Calibri"/>
                <w:sz w:val="22"/>
                <w:szCs w:val="22"/>
              </w:rPr>
            </w:pPr>
            <w:r w:rsidRPr="003633EB">
              <w:rPr>
                <w:rFonts w:ascii="Calibri" w:hAnsi="Calibri" w:cs="Calibri"/>
                <w:sz w:val="22"/>
                <w:szCs w:val="22"/>
              </w:rPr>
              <w:t>220-230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8EDCFB" w14:textId="77777777" w:rsidR="00247A36" w:rsidRPr="003633EB" w:rsidRDefault="004463F2">
            <w:pPr>
              <w:rPr>
                <w:rFonts w:ascii="Calibri" w:hAnsi="Calibri" w:cs="Calibri"/>
                <w:sz w:val="22"/>
                <w:szCs w:val="22"/>
              </w:rPr>
            </w:pPr>
            <w:r w:rsidRPr="003633EB">
              <w:rPr>
                <w:rFonts w:ascii="Calibri" w:hAnsi="Calibri" w:cs="Calibri"/>
                <w:sz w:val="22"/>
                <w:szCs w:val="22"/>
                <w:lang w:val="da-DK"/>
              </w:rPr>
              <w:t>R2G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06126"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Best Hotel Properties/ J&amp;T</w:t>
            </w:r>
          </w:p>
        </w:tc>
      </w:tr>
      <w:tr w:rsidR="00247A36" w:rsidRPr="003633EB" w14:paraId="00C65E1A" w14:textId="77777777" w:rsidTr="0098569F">
        <w:trPr>
          <w:trHeight w:val="37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976364" w14:textId="77777777" w:rsidR="00247A36" w:rsidRPr="003633EB" w:rsidRDefault="004463F2">
            <w:pPr>
              <w:jc w:val="center"/>
              <w:rPr>
                <w:rFonts w:ascii="Calibri" w:hAnsi="Calibri" w:cs="Calibri"/>
                <w:sz w:val="22"/>
                <w:szCs w:val="22"/>
              </w:rPr>
            </w:pPr>
            <w:r w:rsidRPr="003633EB">
              <w:rPr>
                <w:rFonts w:ascii="Calibri" w:hAnsi="Calibri" w:cs="Calibri"/>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CCE597" w14:textId="77777777" w:rsidR="00247A36" w:rsidRPr="003633EB" w:rsidRDefault="004463F2">
            <w:pPr>
              <w:rPr>
                <w:rFonts w:ascii="Calibri" w:hAnsi="Calibri" w:cs="Calibri"/>
                <w:sz w:val="22"/>
                <w:szCs w:val="22"/>
              </w:rPr>
            </w:pPr>
            <w:proofErr w:type="spellStart"/>
            <w:r w:rsidRPr="003633EB">
              <w:rPr>
                <w:rFonts w:ascii="Calibri" w:hAnsi="Calibri" w:cs="Calibri"/>
                <w:sz w:val="22"/>
                <w:szCs w:val="22"/>
              </w:rPr>
              <w:t>Rustonka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90D223" w14:textId="77777777" w:rsidR="00247A36" w:rsidRPr="003633EB" w:rsidRDefault="004463F2">
            <w:pPr>
              <w:rPr>
                <w:rFonts w:ascii="Calibri" w:hAnsi="Calibri" w:cs="Calibri"/>
                <w:sz w:val="22"/>
                <w:szCs w:val="22"/>
              </w:rPr>
            </w:pPr>
            <w:r w:rsidRPr="003633EB">
              <w:rPr>
                <w:rFonts w:ascii="Calibri" w:hAnsi="Calibri" w:cs="Calibri"/>
                <w:sz w:val="22"/>
                <w:szCs w:val="22"/>
              </w:rPr>
              <w:t>160-170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DA3AFE"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Hana Financial Investment</w:t>
            </w:r>
            <w:r w:rsidR="009F27E0" w:rsidRPr="003633EB">
              <w:rPr>
                <w:rFonts w:ascii="Calibri" w:hAnsi="Calibri" w:cs="Calibri"/>
                <w:sz w:val="22"/>
                <w:szCs w:val="22"/>
                <w:lang w:val="en-US"/>
              </w:rPr>
              <w:t xml:space="preserve"> (White Star)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5F78A"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J&amp;T Real Estate</w:t>
            </w:r>
          </w:p>
        </w:tc>
      </w:tr>
      <w:tr w:rsidR="00247A36" w:rsidRPr="003633EB" w14:paraId="10EA8980" w14:textId="77777777" w:rsidTr="0098569F">
        <w:trPr>
          <w:trHeight w:val="4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4AD50" w14:textId="77777777" w:rsidR="00247A36" w:rsidRPr="003633EB" w:rsidRDefault="004463F2">
            <w:pPr>
              <w:jc w:val="center"/>
              <w:rPr>
                <w:rFonts w:ascii="Calibri" w:hAnsi="Calibri" w:cs="Calibri"/>
                <w:sz w:val="22"/>
                <w:szCs w:val="22"/>
              </w:rPr>
            </w:pPr>
            <w:r w:rsidRPr="003633EB">
              <w:rPr>
                <w:rFonts w:ascii="Calibri" w:hAnsi="Calibri" w:cs="Calibri"/>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49B3CD" w14:textId="77777777" w:rsidR="00247A36" w:rsidRPr="003633EB" w:rsidRDefault="004463F2">
            <w:pPr>
              <w:rPr>
                <w:rFonts w:ascii="Calibri" w:hAnsi="Calibri" w:cs="Calibri"/>
                <w:sz w:val="22"/>
                <w:szCs w:val="22"/>
              </w:rPr>
            </w:pPr>
            <w:r w:rsidRPr="003633EB">
              <w:rPr>
                <w:rFonts w:ascii="Calibri" w:hAnsi="Calibri" w:cs="Calibri"/>
                <w:sz w:val="22"/>
                <w:szCs w:val="22"/>
              </w:rPr>
              <w:t>Amazon Dobrovíz</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838754" w14:textId="77777777" w:rsidR="00247A36" w:rsidRPr="003633EB" w:rsidRDefault="004463F2">
            <w:pPr>
              <w:rPr>
                <w:rFonts w:ascii="Calibri" w:hAnsi="Calibri" w:cs="Calibri"/>
                <w:sz w:val="22"/>
                <w:szCs w:val="22"/>
              </w:rPr>
            </w:pPr>
            <w:r w:rsidRPr="003633EB">
              <w:rPr>
                <w:rFonts w:ascii="Calibri" w:hAnsi="Calibri" w:cs="Calibri"/>
                <w:sz w:val="22"/>
                <w:szCs w:val="22"/>
              </w:rPr>
              <w:t>140-150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B82C6" w14:textId="45E2F950" w:rsidR="00247A36" w:rsidRPr="003633EB" w:rsidRDefault="009F27E0">
            <w:pPr>
              <w:rPr>
                <w:rFonts w:ascii="Calibri" w:hAnsi="Calibri" w:cs="Calibri"/>
                <w:sz w:val="22"/>
                <w:szCs w:val="22"/>
              </w:rPr>
            </w:pPr>
            <w:r w:rsidRPr="003633EB">
              <w:rPr>
                <w:rFonts w:ascii="Calibri" w:hAnsi="Calibri" w:cs="Calibri"/>
                <w:sz w:val="22"/>
                <w:szCs w:val="22"/>
                <w:lang w:val="en-US"/>
              </w:rPr>
              <w:t>Samsung Securities (</w:t>
            </w:r>
            <w:r w:rsidR="004463F2" w:rsidRPr="003633EB">
              <w:rPr>
                <w:rFonts w:ascii="Calibri" w:hAnsi="Calibri" w:cs="Calibri"/>
                <w:sz w:val="22"/>
                <w:szCs w:val="22"/>
                <w:lang w:val="en-US"/>
              </w:rPr>
              <w:t xml:space="preserve">Roebuck Asset </w:t>
            </w:r>
            <w:proofErr w:type="spellStart"/>
            <w:r w:rsidR="004463F2" w:rsidRPr="003633EB">
              <w:rPr>
                <w:rFonts w:ascii="Calibri" w:hAnsi="Calibri" w:cs="Calibri"/>
                <w:sz w:val="22"/>
                <w:szCs w:val="22"/>
                <w:lang w:val="en-US"/>
              </w:rPr>
              <w:t>M</w:t>
            </w:r>
            <w:r w:rsidRPr="003633EB">
              <w:rPr>
                <w:rFonts w:ascii="Calibri" w:hAnsi="Calibri" w:cs="Calibri"/>
                <w:sz w:val="22"/>
                <w:szCs w:val="22"/>
                <w:lang w:val="en-US"/>
              </w:rPr>
              <w:t>gmt</w:t>
            </w:r>
            <w:proofErr w:type="spellEnd"/>
            <w:r w:rsidRPr="003633EB">
              <w:rPr>
                <w:rFonts w:ascii="Calibri" w:hAnsi="Calibri" w:cs="Calibri"/>
                <w:sz w:val="22"/>
                <w:szCs w:val="22"/>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04B6EE" w14:textId="77777777" w:rsidR="00247A36" w:rsidRPr="003633EB" w:rsidRDefault="004463F2">
            <w:pPr>
              <w:rPr>
                <w:rFonts w:ascii="Calibri" w:hAnsi="Calibri" w:cs="Calibri"/>
                <w:sz w:val="22"/>
                <w:szCs w:val="22"/>
              </w:rPr>
            </w:pPr>
            <w:r w:rsidRPr="003633EB">
              <w:rPr>
                <w:rFonts w:ascii="Calibri" w:hAnsi="Calibri" w:cs="Calibri"/>
                <w:sz w:val="22"/>
                <w:szCs w:val="22"/>
              </w:rPr>
              <w:t xml:space="preserve">AEW </w:t>
            </w:r>
            <w:proofErr w:type="spellStart"/>
            <w:r w:rsidRPr="003633EB">
              <w:rPr>
                <w:rFonts w:ascii="Calibri" w:hAnsi="Calibri" w:cs="Calibri"/>
                <w:sz w:val="22"/>
                <w:szCs w:val="22"/>
              </w:rPr>
              <w:t>Europe</w:t>
            </w:r>
            <w:proofErr w:type="spellEnd"/>
          </w:p>
        </w:tc>
      </w:tr>
      <w:tr w:rsidR="00247A36" w:rsidRPr="003633EB" w14:paraId="00C7FEB8" w14:textId="77777777" w:rsidTr="0098569F">
        <w:trPr>
          <w:trHeight w:val="5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A9C074" w14:textId="77777777" w:rsidR="00247A36" w:rsidRPr="003633EB" w:rsidRDefault="004463F2">
            <w:pPr>
              <w:jc w:val="center"/>
              <w:rPr>
                <w:rFonts w:ascii="Calibri" w:hAnsi="Calibri" w:cs="Calibri"/>
                <w:sz w:val="22"/>
                <w:szCs w:val="22"/>
              </w:rPr>
            </w:pPr>
            <w:r w:rsidRPr="003633EB">
              <w:rPr>
                <w:rFonts w:ascii="Calibri" w:hAnsi="Calibri" w:cs="Calibri"/>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48EA85"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 xml:space="preserve">Main Point </w:t>
            </w:r>
            <w:proofErr w:type="spellStart"/>
            <w:r w:rsidRPr="003633EB">
              <w:rPr>
                <w:rFonts w:ascii="Calibri" w:hAnsi="Calibri" w:cs="Calibri"/>
                <w:sz w:val="22"/>
                <w:szCs w:val="22"/>
                <w:lang w:val="en-US"/>
              </w:rPr>
              <w:t>Pankr</w:t>
            </w:r>
            <w:r w:rsidRPr="003633EB">
              <w:rPr>
                <w:rFonts w:ascii="Calibri" w:hAnsi="Calibri" w:cs="Calibri"/>
                <w:sz w:val="22"/>
                <w:szCs w:val="22"/>
              </w:rPr>
              <w:t>ác</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9DBFE" w14:textId="77777777" w:rsidR="00247A36" w:rsidRPr="003633EB" w:rsidRDefault="004463F2">
            <w:pPr>
              <w:rPr>
                <w:rFonts w:ascii="Calibri" w:hAnsi="Calibri" w:cs="Calibri"/>
                <w:sz w:val="22"/>
                <w:szCs w:val="22"/>
              </w:rPr>
            </w:pPr>
            <w:r w:rsidRPr="003633EB">
              <w:rPr>
                <w:rFonts w:ascii="Calibri" w:hAnsi="Calibri" w:cs="Calibri"/>
                <w:sz w:val="22"/>
                <w:szCs w:val="22"/>
              </w:rPr>
              <w:t>130-140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59536C" w14:textId="77777777" w:rsidR="00247A36" w:rsidRPr="003633EB" w:rsidRDefault="004463F2">
            <w:pPr>
              <w:rPr>
                <w:rFonts w:ascii="Calibri" w:hAnsi="Calibri" w:cs="Calibri"/>
                <w:sz w:val="22"/>
                <w:szCs w:val="22"/>
              </w:rPr>
            </w:pPr>
            <w:r w:rsidRPr="003633EB">
              <w:rPr>
                <w:rFonts w:ascii="Calibri" w:hAnsi="Calibri" w:cs="Calibri"/>
                <w:sz w:val="22"/>
                <w:szCs w:val="22"/>
                <w:lang w:val="en-US"/>
              </w:rPr>
              <w:t>Hana Financial investment</w:t>
            </w:r>
            <w:r w:rsidR="009F27E0" w:rsidRPr="003633EB">
              <w:rPr>
                <w:rFonts w:ascii="Calibri" w:hAnsi="Calibri" w:cs="Calibri"/>
                <w:sz w:val="22"/>
                <w:szCs w:val="22"/>
                <w:lang w:val="en-US"/>
              </w:rPr>
              <w:t xml:space="preserve"> (Mint Investments)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E24043" w14:textId="77777777" w:rsidR="00247A36" w:rsidRPr="003633EB" w:rsidRDefault="004463F2">
            <w:pPr>
              <w:rPr>
                <w:rFonts w:ascii="Calibri" w:hAnsi="Calibri" w:cs="Calibri"/>
                <w:sz w:val="22"/>
                <w:szCs w:val="22"/>
              </w:rPr>
            </w:pPr>
            <w:r w:rsidRPr="003633EB">
              <w:rPr>
                <w:rFonts w:ascii="Calibri" w:hAnsi="Calibri" w:cs="Calibri"/>
                <w:sz w:val="22"/>
                <w:szCs w:val="22"/>
                <w:lang w:val="pt-PT"/>
              </w:rPr>
              <w:t>PSJ Invest</w:t>
            </w:r>
          </w:p>
        </w:tc>
      </w:tr>
    </w:tbl>
    <w:p w14:paraId="7212B936" w14:textId="77777777" w:rsidR="008C756E" w:rsidRDefault="008C756E" w:rsidP="005224B3">
      <w:pPr>
        <w:shd w:val="clear" w:color="auto" w:fill="FFFFFF"/>
        <w:spacing w:line="276" w:lineRule="auto"/>
        <w:jc w:val="both"/>
        <w:rPr>
          <w:rFonts w:ascii="Calibri" w:hAnsi="Calibri" w:cs="Calibri"/>
          <w:lang w:val="en-US"/>
        </w:rPr>
      </w:pPr>
    </w:p>
    <w:p w14:paraId="3F37469E" w14:textId="4698E194" w:rsidR="00247A36" w:rsidRPr="002E3586" w:rsidRDefault="004463F2" w:rsidP="005224B3">
      <w:pPr>
        <w:shd w:val="clear" w:color="auto" w:fill="FFFFFF"/>
        <w:spacing w:line="276" w:lineRule="auto"/>
        <w:jc w:val="both"/>
        <w:rPr>
          <w:rFonts w:ascii="Calibri" w:eastAsia="Calibri" w:hAnsi="Calibri" w:cs="Calibri"/>
        </w:rPr>
      </w:pPr>
      <w:r w:rsidRPr="002E3586">
        <w:rPr>
          <w:rFonts w:ascii="Calibri" w:hAnsi="Calibri" w:cs="Calibri"/>
          <w:lang w:val="en-US"/>
        </w:rPr>
        <w:t>The greatest volume of investments in commercial real estate during the past five years was in Prague, accounting for 62% of the total volume. In 2019 alone, investors showed even a higher-than-average interest in Prague reaching as high as about 80% of closed transactions.</w:t>
      </w:r>
    </w:p>
    <w:p w14:paraId="469CF1DE" w14:textId="77777777" w:rsidR="00247A36" w:rsidRPr="002E3586" w:rsidRDefault="00247A36" w:rsidP="005224B3">
      <w:pPr>
        <w:shd w:val="clear" w:color="auto" w:fill="FFFFFF"/>
        <w:spacing w:line="276" w:lineRule="auto"/>
        <w:jc w:val="both"/>
        <w:rPr>
          <w:rFonts w:ascii="Calibri" w:eastAsia="Calibri" w:hAnsi="Calibri" w:cs="Calibri"/>
        </w:rPr>
      </w:pPr>
    </w:p>
    <w:p w14:paraId="6F4185B0" w14:textId="6FA0630B" w:rsidR="00247A36" w:rsidRDefault="007E6351" w:rsidP="005224B3">
      <w:pPr>
        <w:shd w:val="clear" w:color="auto" w:fill="FFFFFF"/>
        <w:spacing w:line="276" w:lineRule="auto"/>
        <w:jc w:val="both"/>
        <w:rPr>
          <w:rFonts w:ascii="Calibri" w:hAnsi="Calibri" w:cs="Calibri"/>
          <w:b/>
          <w:bCs/>
          <w:lang w:val="en-US"/>
        </w:rPr>
      </w:pPr>
      <w:r>
        <w:rPr>
          <w:rFonts w:ascii="Calibri" w:hAnsi="Calibri" w:cs="Calibri"/>
          <w:b/>
          <w:bCs/>
          <w:lang w:val="en-US"/>
        </w:rPr>
        <w:t>Czech investors have continued to grow their influence on the domestic market and in 2019, they were the most active single nationality active in the Czech market.</w:t>
      </w:r>
      <w:r w:rsidRPr="002E3586" w:rsidDel="007E6351">
        <w:rPr>
          <w:rFonts w:ascii="Calibri" w:hAnsi="Calibri" w:cs="Calibri"/>
          <w:b/>
          <w:bCs/>
          <w:lang w:val="en-US"/>
        </w:rPr>
        <w:t xml:space="preserve"> </w:t>
      </w:r>
    </w:p>
    <w:p w14:paraId="3FB294AB" w14:textId="56A680DE" w:rsidR="00247A36" w:rsidRPr="002E3586" w:rsidRDefault="004463F2" w:rsidP="005224B3">
      <w:pPr>
        <w:shd w:val="clear" w:color="auto" w:fill="FFFFFF"/>
        <w:spacing w:line="276" w:lineRule="auto"/>
        <w:jc w:val="both"/>
        <w:rPr>
          <w:rFonts w:ascii="Calibri" w:eastAsia="Calibri" w:hAnsi="Calibri" w:cs="Calibri"/>
        </w:rPr>
      </w:pPr>
      <w:r w:rsidRPr="002E3586">
        <w:rPr>
          <w:rFonts w:ascii="Calibri" w:hAnsi="Calibri" w:cs="Calibri"/>
          <w:lang w:val="en-US"/>
        </w:rPr>
        <w:t>The share of Czech investors is growing: while in 2015, the share of Czech investors in the total volume of transactions was about 23%, in 2019 Czech capital had around 40% of the total volume. South Korean investors were also very active this year, having almost a 20% share, followed by Germans with 10%.</w:t>
      </w:r>
    </w:p>
    <w:p w14:paraId="40FE34F8" w14:textId="77777777" w:rsidR="00247A36" w:rsidRPr="002E3586" w:rsidRDefault="00247A36" w:rsidP="005224B3">
      <w:pPr>
        <w:shd w:val="clear" w:color="auto" w:fill="FFFFFF"/>
        <w:spacing w:line="276" w:lineRule="auto"/>
        <w:jc w:val="both"/>
        <w:rPr>
          <w:rFonts w:ascii="Calibri" w:hAnsi="Calibri" w:cs="Calibri"/>
        </w:rPr>
      </w:pPr>
      <w:bookmarkStart w:id="2" w:name="_Hlk25652706"/>
    </w:p>
    <w:p w14:paraId="76207894" w14:textId="598479BE" w:rsidR="00DB77CA" w:rsidRPr="002E3586" w:rsidRDefault="004463F2" w:rsidP="005224B3">
      <w:pPr>
        <w:jc w:val="both"/>
        <w:rPr>
          <w:rFonts w:ascii="Calibri" w:eastAsia="Calibri" w:hAnsi="Calibri" w:cs="Calibri"/>
        </w:rPr>
      </w:pPr>
      <w:r w:rsidRPr="002E3586">
        <w:rPr>
          <w:rFonts w:ascii="Calibri" w:hAnsi="Calibri" w:cs="Calibri"/>
          <w:b/>
          <w:bCs/>
        </w:rPr>
        <w:t xml:space="preserve">Vítězslav </w:t>
      </w:r>
      <w:proofErr w:type="spellStart"/>
      <w:r w:rsidRPr="002E3586">
        <w:rPr>
          <w:rFonts w:ascii="Calibri" w:hAnsi="Calibri" w:cs="Calibri"/>
          <w:b/>
          <w:bCs/>
        </w:rPr>
        <w:t>Dolež</w:t>
      </w:r>
      <w:proofErr w:type="spellEnd"/>
      <w:r w:rsidRPr="002E3586">
        <w:rPr>
          <w:rFonts w:ascii="Calibri" w:hAnsi="Calibri" w:cs="Calibri"/>
          <w:b/>
          <w:bCs/>
          <w:lang w:val="en-US"/>
        </w:rPr>
        <w:t>al, Associate Director Investment Properties at CBRE</w:t>
      </w:r>
      <w:r w:rsidRPr="002E3586">
        <w:rPr>
          <w:rFonts w:ascii="Calibri" w:hAnsi="Calibri" w:cs="Calibri"/>
        </w:rPr>
        <w:t xml:space="preserve"> </w:t>
      </w:r>
      <w:r w:rsidRPr="002E3586">
        <w:rPr>
          <w:rFonts w:ascii="Calibri" w:hAnsi="Calibri" w:cs="Calibri"/>
          <w:lang w:val="en-US"/>
        </w:rPr>
        <w:t>says about Czech investors</w:t>
      </w:r>
      <w:r w:rsidRPr="002E3586">
        <w:rPr>
          <w:rFonts w:ascii="Calibri" w:hAnsi="Calibri" w:cs="Calibri"/>
        </w:rPr>
        <w:t>:</w:t>
      </w:r>
      <w:r w:rsidRPr="002E3586">
        <w:rPr>
          <w:rFonts w:ascii="Calibri" w:hAnsi="Calibri" w:cs="Calibri"/>
          <w:lang w:val="en-US"/>
        </w:rPr>
        <w:t xml:space="preserve"> ‘</w:t>
      </w:r>
      <w:r w:rsidRPr="002E3586">
        <w:rPr>
          <w:rFonts w:ascii="Calibri" w:hAnsi="Calibri" w:cs="Calibri"/>
          <w:i/>
          <w:iCs/>
          <w:lang w:val="en-US"/>
        </w:rPr>
        <w:t>During the past three years, CBRE closed almost 30 transactions with top Czech investors in the total volume of more than 30 billion crowns, which makes it the market leader. These investors are</w:t>
      </w:r>
      <w:r w:rsidR="002C37CE">
        <w:rPr>
          <w:rFonts w:ascii="Calibri" w:hAnsi="Calibri" w:cs="Calibri"/>
          <w:i/>
          <w:iCs/>
          <w:lang w:val="en-US"/>
        </w:rPr>
        <w:t xml:space="preserve"> </w:t>
      </w:r>
      <w:r w:rsidRPr="002E3586">
        <w:rPr>
          <w:rFonts w:ascii="Calibri" w:hAnsi="Calibri" w:cs="Calibri"/>
          <w:i/>
          <w:iCs/>
        </w:rPr>
        <w:t xml:space="preserve">REICO, CPI, WOOD &amp; Co, ZFP, DRFG, </w:t>
      </w:r>
      <w:proofErr w:type="spellStart"/>
      <w:r w:rsidRPr="002E3586">
        <w:rPr>
          <w:rFonts w:ascii="Calibri" w:hAnsi="Calibri" w:cs="Calibri"/>
          <w:i/>
          <w:iCs/>
        </w:rPr>
        <w:t>Investika</w:t>
      </w:r>
      <w:proofErr w:type="spellEnd"/>
      <w:r w:rsidRPr="002E3586">
        <w:rPr>
          <w:rFonts w:ascii="Calibri" w:hAnsi="Calibri" w:cs="Calibri"/>
          <w:i/>
          <w:iCs/>
        </w:rPr>
        <w:t xml:space="preserve">, </w:t>
      </w:r>
      <w:proofErr w:type="spellStart"/>
      <w:r w:rsidRPr="002E3586">
        <w:rPr>
          <w:rFonts w:ascii="Calibri" w:hAnsi="Calibri" w:cs="Calibri"/>
          <w:i/>
          <w:iCs/>
        </w:rPr>
        <w:t>Raiffeisen</w:t>
      </w:r>
      <w:proofErr w:type="spellEnd"/>
      <w:r w:rsidRPr="002E3586">
        <w:rPr>
          <w:rFonts w:ascii="Calibri" w:hAnsi="Calibri" w:cs="Calibri"/>
          <w:i/>
          <w:iCs/>
          <w:lang w:val="en-US"/>
        </w:rPr>
        <w:t>’s reality fund or</w:t>
      </w:r>
      <w:r w:rsidRPr="002E3586">
        <w:rPr>
          <w:rFonts w:ascii="Calibri" w:hAnsi="Calibri" w:cs="Calibri"/>
          <w:i/>
          <w:iCs/>
          <w:lang w:val="fr-FR"/>
        </w:rPr>
        <w:t xml:space="preserve"> Trigea</w:t>
      </w:r>
      <w:r w:rsidRPr="002E3586">
        <w:rPr>
          <w:rFonts w:ascii="Calibri" w:hAnsi="Calibri" w:cs="Calibri"/>
          <w:i/>
          <w:iCs/>
          <w:lang w:val="en-US"/>
        </w:rPr>
        <w:t>, to name but a few. Investments in Czech retail was dominated in 2019 by Czech capital with more than a 65% share.</w:t>
      </w:r>
      <w:r w:rsidRPr="002E3586">
        <w:rPr>
          <w:rFonts w:ascii="Calibri" w:hAnsi="Calibri" w:cs="Calibri"/>
          <w:lang w:val="en-US"/>
        </w:rPr>
        <w:t>’</w:t>
      </w:r>
    </w:p>
    <w:p w14:paraId="7E8D7A57" w14:textId="77777777" w:rsidR="008C756E" w:rsidRDefault="008C756E" w:rsidP="005224B3">
      <w:pPr>
        <w:jc w:val="center"/>
        <w:rPr>
          <w:rFonts w:ascii="Calibri" w:hAnsi="Calibri" w:cs="Calibri"/>
          <w:b/>
          <w:bCs/>
          <w:lang w:val="en-US"/>
        </w:rPr>
      </w:pPr>
    </w:p>
    <w:p w14:paraId="4FC706DD" w14:textId="26BC9D07" w:rsidR="00247A36" w:rsidRDefault="004463F2" w:rsidP="005224B3">
      <w:pPr>
        <w:jc w:val="center"/>
        <w:rPr>
          <w:rFonts w:ascii="Calibri" w:hAnsi="Calibri" w:cs="Calibri"/>
          <w:b/>
          <w:bCs/>
          <w:lang w:val="en-US"/>
        </w:rPr>
      </w:pPr>
      <w:r w:rsidRPr="002E3586">
        <w:rPr>
          <w:rFonts w:ascii="Calibri" w:hAnsi="Calibri" w:cs="Calibri"/>
          <w:b/>
          <w:bCs/>
          <w:lang w:val="en-US"/>
        </w:rPr>
        <w:t>Share of Czech investors in 2019 in particular sectors</w:t>
      </w:r>
    </w:p>
    <w:p w14:paraId="2CE0EFAF" w14:textId="77777777" w:rsidR="008C756E" w:rsidRPr="002E3586" w:rsidRDefault="008C756E" w:rsidP="005224B3">
      <w:pPr>
        <w:jc w:val="center"/>
        <w:rPr>
          <w:rFonts w:ascii="Calibri" w:eastAsia="Helvetica" w:hAnsi="Calibri" w:cs="Calibri"/>
          <w:i/>
          <w:iCs/>
        </w:rPr>
      </w:pPr>
    </w:p>
    <w:tbl>
      <w:tblPr>
        <w:tblStyle w:val="TableNormal1"/>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020"/>
        <w:gridCol w:w="1781"/>
        <w:gridCol w:w="653"/>
      </w:tblGrid>
      <w:tr w:rsidR="00247A36" w:rsidRPr="002E3586" w14:paraId="732B8CE5"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5F32F0" w14:textId="77777777" w:rsidR="00247A36" w:rsidRPr="00151A80" w:rsidRDefault="004463F2">
            <w:pPr>
              <w:rPr>
                <w:rFonts w:ascii="Calibri" w:hAnsi="Calibri" w:cs="Calibri"/>
                <w:sz w:val="20"/>
                <w:szCs w:val="20"/>
              </w:rPr>
            </w:pPr>
            <w:r w:rsidRPr="00151A80">
              <w:rPr>
                <w:rFonts w:ascii="Calibri" w:hAnsi="Calibri" w:cs="Calibri"/>
                <w:b/>
                <w:bCs/>
                <w:sz w:val="20"/>
                <w:szCs w:val="20"/>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31F52E" w14:textId="77777777" w:rsidR="00247A36" w:rsidRPr="00151A80" w:rsidRDefault="004463F2">
            <w:pPr>
              <w:rPr>
                <w:rFonts w:ascii="Calibri" w:hAnsi="Calibri" w:cs="Calibri"/>
                <w:sz w:val="20"/>
                <w:szCs w:val="20"/>
              </w:rPr>
            </w:pPr>
            <w:r w:rsidRPr="00151A80">
              <w:rPr>
                <w:rFonts w:ascii="Calibri" w:hAnsi="Calibri" w:cs="Calibri"/>
                <w:b/>
                <w:bCs/>
                <w:sz w:val="20"/>
                <w:szCs w:val="20"/>
                <w:lang w:val="en-US"/>
              </w:rPr>
              <w:t>Price</w:t>
            </w:r>
            <w:r w:rsidRPr="00151A80">
              <w:rPr>
                <w:rFonts w:ascii="Calibri" w:hAnsi="Calibri" w:cs="Calibri"/>
                <w:b/>
                <w:bCs/>
                <w:sz w:val="20"/>
                <w:szCs w:val="20"/>
              </w:rPr>
              <w:t xml:space="preserve"> (</w:t>
            </w:r>
            <w:r w:rsidRPr="00151A80">
              <w:rPr>
                <w:rFonts w:ascii="Calibri" w:hAnsi="Calibri" w:cs="Calibri"/>
                <w:b/>
                <w:bCs/>
                <w:sz w:val="20"/>
                <w:szCs w:val="20"/>
                <w:lang w:val="en-US"/>
              </w:rPr>
              <w:t>millions</w:t>
            </w:r>
            <w:r w:rsidRPr="00151A80">
              <w:rPr>
                <w:rFonts w:ascii="Calibri" w:hAnsi="Calibri" w:cs="Calibri"/>
                <w:b/>
                <w:bCs/>
                <w:sz w:val="20"/>
                <w:szCs w:val="20"/>
              </w:rPr>
              <w:t xml:space="preserve"> EUR)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97D74E" w14:textId="77777777" w:rsidR="00247A36" w:rsidRPr="00151A80" w:rsidRDefault="004463F2">
            <w:pPr>
              <w:rPr>
                <w:rFonts w:ascii="Calibri" w:hAnsi="Calibri" w:cs="Calibri"/>
                <w:sz w:val="20"/>
                <w:szCs w:val="20"/>
              </w:rPr>
            </w:pPr>
            <w:r w:rsidRPr="00151A80">
              <w:rPr>
                <w:rFonts w:ascii="Calibri" w:hAnsi="Calibri" w:cs="Calibri"/>
                <w:b/>
                <w:bCs/>
                <w:sz w:val="20"/>
                <w:szCs w:val="20"/>
              </w:rPr>
              <w:t>%</w:t>
            </w:r>
          </w:p>
        </w:tc>
      </w:tr>
      <w:tr w:rsidR="00247A36" w:rsidRPr="002E3586" w14:paraId="238783AA"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C92AEB" w14:textId="77777777" w:rsidR="00247A36" w:rsidRPr="00151A80" w:rsidRDefault="004463F2">
            <w:pPr>
              <w:rPr>
                <w:rFonts w:ascii="Calibri" w:hAnsi="Calibri" w:cs="Calibri"/>
                <w:sz w:val="20"/>
                <w:szCs w:val="20"/>
              </w:rPr>
            </w:pPr>
            <w:proofErr w:type="spellStart"/>
            <w:r w:rsidRPr="00151A80">
              <w:rPr>
                <w:rFonts w:ascii="Calibri" w:hAnsi="Calibri" w:cs="Calibri"/>
                <w:sz w:val="20"/>
                <w:szCs w:val="20"/>
              </w:rPr>
              <w:t>Industrial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8071C9" w14:textId="77777777" w:rsidR="00247A36" w:rsidRPr="00151A80" w:rsidRDefault="004463F2">
            <w:pPr>
              <w:rPr>
                <w:rFonts w:ascii="Calibri" w:hAnsi="Calibri" w:cs="Calibri"/>
                <w:sz w:val="20"/>
                <w:szCs w:val="20"/>
              </w:rPr>
            </w:pPr>
            <w:r w:rsidRPr="00151A80">
              <w:rPr>
                <w:rFonts w:ascii="Calibri" w:hAnsi="Calibri" w:cs="Calibri"/>
                <w:sz w:val="20"/>
                <w:szCs w:val="20"/>
                <w:lang w:val="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99DB86" w14:textId="77777777" w:rsidR="00247A36" w:rsidRPr="00151A80" w:rsidRDefault="004463F2">
            <w:pPr>
              <w:rPr>
                <w:rFonts w:ascii="Calibri" w:hAnsi="Calibri" w:cs="Calibri"/>
                <w:sz w:val="20"/>
                <w:szCs w:val="20"/>
              </w:rPr>
            </w:pPr>
            <w:r w:rsidRPr="00151A80">
              <w:rPr>
                <w:rFonts w:ascii="Calibri" w:hAnsi="Calibri" w:cs="Calibri"/>
                <w:sz w:val="20"/>
                <w:szCs w:val="20"/>
              </w:rPr>
              <w:t>5 %</w:t>
            </w:r>
          </w:p>
        </w:tc>
      </w:tr>
      <w:tr w:rsidR="00247A36" w:rsidRPr="002E3586" w14:paraId="3017478A"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D2DE63" w14:textId="77777777" w:rsidR="00247A36" w:rsidRPr="00151A80" w:rsidRDefault="004463F2">
            <w:pPr>
              <w:rPr>
                <w:rFonts w:ascii="Calibri" w:hAnsi="Calibri" w:cs="Calibri"/>
                <w:sz w:val="20"/>
                <w:szCs w:val="20"/>
              </w:rPr>
            </w:pPr>
            <w:r w:rsidRPr="00151A80">
              <w:rPr>
                <w:rFonts w:ascii="Calibri" w:hAnsi="Calibri" w:cs="Calibri"/>
                <w:sz w:val="20"/>
                <w:szCs w:val="20"/>
                <w:lang w:val="en-US"/>
              </w:rPr>
              <w:t>Office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AA3655" w14:textId="77777777" w:rsidR="00247A36" w:rsidRPr="00151A80" w:rsidRDefault="004463F2">
            <w:pPr>
              <w:rPr>
                <w:rFonts w:ascii="Calibri" w:hAnsi="Calibri" w:cs="Calibri"/>
                <w:sz w:val="20"/>
                <w:szCs w:val="20"/>
              </w:rPr>
            </w:pPr>
            <w:r w:rsidRPr="00151A80">
              <w:rPr>
                <w:rFonts w:ascii="Calibri" w:hAnsi="Calibri" w:cs="Calibri"/>
                <w:sz w:val="20"/>
                <w:szCs w:val="20"/>
              </w:rPr>
              <w:t>280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F347D4" w14:textId="77777777" w:rsidR="00247A36" w:rsidRPr="00151A80" w:rsidRDefault="004463F2">
            <w:pPr>
              <w:rPr>
                <w:rFonts w:ascii="Calibri" w:hAnsi="Calibri" w:cs="Calibri"/>
                <w:sz w:val="20"/>
                <w:szCs w:val="20"/>
              </w:rPr>
            </w:pPr>
            <w:r w:rsidRPr="00151A80">
              <w:rPr>
                <w:rFonts w:ascii="Calibri" w:hAnsi="Calibri" w:cs="Calibri"/>
                <w:sz w:val="20"/>
                <w:szCs w:val="20"/>
              </w:rPr>
              <w:t>22 %</w:t>
            </w:r>
          </w:p>
        </w:tc>
      </w:tr>
      <w:tr w:rsidR="00247A36" w:rsidRPr="002E3586" w14:paraId="2427887E"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204377" w14:textId="77777777" w:rsidR="00247A36" w:rsidRPr="00151A80" w:rsidRDefault="004463F2">
            <w:pPr>
              <w:rPr>
                <w:rFonts w:ascii="Calibri" w:hAnsi="Calibri" w:cs="Calibri"/>
                <w:sz w:val="20"/>
                <w:szCs w:val="20"/>
              </w:rPr>
            </w:pPr>
            <w:r w:rsidRPr="00151A80">
              <w:rPr>
                <w:rFonts w:ascii="Calibri" w:hAnsi="Calibri" w:cs="Calibri"/>
                <w:sz w:val="20"/>
                <w:szCs w:val="20"/>
                <w:lang w:val="en-US"/>
              </w:rPr>
              <w:t>Retail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C8E6E6" w14:textId="77777777" w:rsidR="00247A36" w:rsidRPr="00151A80" w:rsidRDefault="004463F2">
            <w:pPr>
              <w:rPr>
                <w:rFonts w:ascii="Calibri" w:hAnsi="Calibri" w:cs="Calibri"/>
                <w:sz w:val="20"/>
                <w:szCs w:val="20"/>
              </w:rPr>
            </w:pPr>
            <w:r w:rsidRPr="00151A80">
              <w:rPr>
                <w:rFonts w:ascii="Calibri" w:hAnsi="Calibri" w:cs="Calibri"/>
                <w:sz w:val="20"/>
                <w:szCs w:val="20"/>
              </w:rPr>
              <w:t>819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4EE803" w14:textId="77777777" w:rsidR="00247A36" w:rsidRPr="00151A80" w:rsidRDefault="004463F2">
            <w:pPr>
              <w:rPr>
                <w:rFonts w:ascii="Calibri" w:hAnsi="Calibri" w:cs="Calibri"/>
                <w:sz w:val="20"/>
                <w:szCs w:val="20"/>
              </w:rPr>
            </w:pPr>
            <w:r w:rsidRPr="00151A80">
              <w:rPr>
                <w:rFonts w:ascii="Calibri" w:hAnsi="Calibri" w:cs="Calibri"/>
                <w:sz w:val="20"/>
                <w:szCs w:val="20"/>
              </w:rPr>
              <w:t>65 %</w:t>
            </w:r>
          </w:p>
        </w:tc>
      </w:tr>
      <w:tr w:rsidR="00247A36" w:rsidRPr="002E3586" w14:paraId="2A04FFC0"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AC159A" w14:textId="77777777" w:rsidR="00247A36" w:rsidRPr="00151A80" w:rsidRDefault="004463F2">
            <w:pPr>
              <w:rPr>
                <w:rFonts w:ascii="Calibri" w:hAnsi="Calibri" w:cs="Calibri"/>
                <w:sz w:val="20"/>
                <w:szCs w:val="20"/>
              </w:rPr>
            </w:pPr>
            <w:r w:rsidRPr="00151A80">
              <w:rPr>
                <w:rFonts w:ascii="Calibri" w:hAnsi="Calibri" w:cs="Calibri"/>
                <w:sz w:val="20"/>
                <w:szCs w:val="20"/>
                <w:lang w:val="en-US"/>
              </w:rPr>
              <w:t>Mixed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C587E4" w14:textId="77777777" w:rsidR="00247A36" w:rsidRPr="00151A80" w:rsidRDefault="004463F2">
            <w:pPr>
              <w:rPr>
                <w:rFonts w:ascii="Calibri" w:hAnsi="Calibri" w:cs="Calibri"/>
                <w:sz w:val="20"/>
                <w:szCs w:val="20"/>
              </w:rPr>
            </w:pPr>
            <w:r w:rsidRPr="00151A80">
              <w:rPr>
                <w:rFonts w:ascii="Calibri" w:hAnsi="Calibri" w:cs="Calibri"/>
                <w:sz w:val="20"/>
                <w:szCs w:val="20"/>
              </w:rPr>
              <w:t>107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FB1297" w14:textId="77777777" w:rsidR="00247A36" w:rsidRPr="00151A80" w:rsidRDefault="004463F2">
            <w:pPr>
              <w:rPr>
                <w:rFonts w:ascii="Calibri" w:hAnsi="Calibri" w:cs="Calibri"/>
                <w:sz w:val="20"/>
                <w:szCs w:val="20"/>
              </w:rPr>
            </w:pPr>
            <w:r w:rsidRPr="00151A80">
              <w:rPr>
                <w:rFonts w:ascii="Calibri" w:hAnsi="Calibri" w:cs="Calibri"/>
                <w:sz w:val="20"/>
                <w:szCs w:val="20"/>
              </w:rPr>
              <w:t>8 %</w:t>
            </w:r>
          </w:p>
        </w:tc>
      </w:tr>
      <w:tr w:rsidR="00247A36" w:rsidRPr="002E3586" w14:paraId="5D193BAA" w14:textId="77777777" w:rsidTr="0098569F">
        <w:trPr>
          <w:trHeight w:val="2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D43AE0" w14:textId="77777777" w:rsidR="00247A36" w:rsidRPr="00151A80" w:rsidRDefault="004463F2">
            <w:pPr>
              <w:rPr>
                <w:rFonts w:ascii="Calibri" w:hAnsi="Calibri" w:cs="Calibri"/>
                <w:sz w:val="20"/>
                <w:szCs w:val="20"/>
              </w:rPr>
            </w:pPr>
            <w:r w:rsidRPr="00151A80">
              <w:rPr>
                <w:rFonts w:ascii="Calibri" w:hAnsi="Calibri" w:cs="Calibri"/>
                <w:sz w:val="20"/>
                <w:szCs w:val="20"/>
              </w:rPr>
              <w:t>Celkem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E359DA" w14:textId="77777777" w:rsidR="00247A36" w:rsidRPr="00151A80" w:rsidRDefault="004463F2">
            <w:pPr>
              <w:rPr>
                <w:rFonts w:ascii="Calibri" w:hAnsi="Calibri" w:cs="Calibri"/>
                <w:sz w:val="20"/>
                <w:szCs w:val="20"/>
              </w:rPr>
            </w:pPr>
            <w:r w:rsidRPr="00151A80">
              <w:rPr>
                <w:rFonts w:ascii="Calibri" w:hAnsi="Calibri" w:cs="Calibri"/>
                <w:sz w:val="20"/>
                <w:szCs w:val="20"/>
              </w:rPr>
              <w:t>1 289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FAB5B1" w14:textId="77777777" w:rsidR="00247A36" w:rsidRPr="00151A80" w:rsidRDefault="004463F2">
            <w:pPr>
              <w:rPr>
                <w:rFonts w:ascii="Calibri" w:hAnsi="Calibri" w:cs="Calibri"/>
                <w:sz w:val="20"/>
                <w:szCs w:val="20"/>
              </w:rPr>
            </w:pPr>
            <w:r w:rsidRPr="00151A80">
              <w:rPr>
                <w:rFonts w:ascii="Calibri" w:hAnsi="Calibri" w:cs="Calibri"/>
                <w:sz w:val="20"/>
                <w:szCs w:val="20"/>
              </w:rPr>
              <w:t>100 %</w:t>
            </w:r>
          </w:p>
        </w:tc>
      </w:tr>
      <w:bookmarkEnd w:id="2"/>
    </w:tbl>
    <w:p w14:paraId="0A693FE2" w14:textId="77777777" w:rsidR="000E77AB" w:rsidRDefault="000E77AB">
      <w:pPr>
        <w:spacing w:line="276" w:lineRule="auto"/>
        <w:jc w:val="both"/>
        <w:rPr>
          <w:rFonts w:ascii="Calibri" w:hAnsi="Calibri" w:cs="Calibri"/>
          <w:b/>
          <w:bCs/>
          <w:sz w:val="22"/>
          <w:szCs w:val="22"/>
          <w:lang w:val="en-US"/>
        </w:rPr>
      </w:pPr>
    </w:p>
    <w:p w14:paraId="480852F9" w14:textId="72C4FEA0" w:rsidR="00247A36" w:rsidRPr="00151A80" w:rsidRDefault="004463F2">
      <w:pPr>
        <w:spacing w:line="276" w:lineRule="auto"/>
        <w:jc w:val="both"/>
        <w:rPr>
          <w:rFonts w:ascii="Calibri" w:eastAsia="Helvetica" w:hAnsi="Calibri" w:cs="Calibri"/>
          <w:b/>
          <w:bCs/>
          <w:sz w:val="22"/>
          <w:szCs w:val="22"/>
        </w:rPr>
      </w:pPr>
      <w:r w:rsidRPr="00151A80">
        <w:rPr>
          <w:rFonts w:ascii="Calibri" w:hAnsi="Calibri" w:cs="Calibri"/>
          <w:b/>
          <w:bCs/>
          <w:sz w:val="22"/>
          <w:szCs w:val="22"/>
          <w:lang w:val="en-US"/>
        </w:rPr>
        <w:t>Contact</w:t>
      </w:r>
      <w:r w:rsidRPr="00151A80">
        <w:rPr>
          <w:rFonts w:ascii="Calibri" w:hAnsi="Calibri" w:cs="Calibri"/>
          <w:b/>
          <w:bCs/>
          <w:sz w:val="22"/>
          <w:szCs w:val="22"/>
        </w:rPr>
        <w:t>:</w:t>
      </w:r>
    </w:p>
    <w:p w14:paraId="0263F9EB" w14:textId="77777777" w:rsidR="00247A36" w:rsidRPr="00151A80" w:rsidRDefault="004463F2">
      <w:pPr>
        <w:spacing w:line="276" w:lineRule="auto"/>
        <w:jc w:val="both"/>
        <w:rPr>
          <w:rStyle w:val="dn"/>
          <w:rFonts w:ascii="Calibri" w:eastAsia="Calibri" w:hAnsi="Calibri" w:cs="Calibri"/>
          <w:sz w:val="22"/>
          <w:szCs w:val="22"/>
        </w:rPr>
      </w:pPr>
      <w:r w:rsidRPr="00151A80">
        <w:rPr>
          <w:rFonts w:ascii="Calibri" w:hAnsi="Calibri" w:cs="Calibri"/>
          <w:sz w:val="22"/>
          <w:szCs w:val="22"/>
        </w:rPr>
        <w:t>Pavlína Musilová</w:t>
      </w:r>
      <w:r w:rsidRPr="00151A80">
        <w:rPr>
          <w:rFonts w:ascii="Calibri" w:hAnsi="Calibri" w:cs="Calibri"/>
          <w:sz w:val="22"/>
          <w:szCs w:val="22"/>
          <w:lang w:val="en-US"/>
        </w:rPr>
        <w:t>, Communications Manager, +420</w:t>
      </w:r>
      <w:r w:rsidRPr="00151A80">
        <w:rPr>
          <w:rFonts w:ascii="Calibri" w:hAnsi="Calibri" w:cs="Calibri"/>
          <w:sz w:val="22"/>
          <w:szCs w:val="22"/>
        </w:rPr>
        <w:t xml:space="preserve"> 606 611 074, </w:t>
      </w:r>
      <w:hyperlink r:id="rId6" w:history="1">
        <w:r w:rsidRPr="00151A80">
          <w:rPr>
            <w:rStyle w:val="Hyperlink0"/>
          </w:rPr>
          <w:t>pavlina.musilova1@cbre.com</w:t>
        </w:r>
      </w:hyperlink>
    </w:p>
    <w:p w14:paraId="50776F95" w14:textId="77777777" w:rsidR="00247A36" w:rsidRPr="00151A80" w:rsidRDefault="004463F2">
      <w:pPr>
        <w:rPr>
          <w:rStyle w:val="Hyperlink0"/>
        </w:rPr>
      </w:pPr>
      <w:r w:rsidRPr="00151A80">
        <w:rPr>
          <w:rStyle w:val="dn"/>
          <w:rFonts w:ascii="Calibri" w:hAnsi="Calibri" w:cs="Calibri"/>
          <w:sz w:val="22"/>
          <w:szCs w:val="22"/>
        </w:rPr>
        <w:t xml:space="preserve">CBRE Czech Republic - </w:t>
      </w:r>
      <w:hyperlink r:id="rId7" w:history="1">
        <w:r w:rsidRPr="00151A80">
          <w:rPr>
            <w:rStyle w:val="Hyperlink0"/>
            <w:lang w:val="nl-NL"/>
          </w:rPr>
          <w:t>Facebook</w:t>
        </w:r>
      </w:hyperlink>
      <w:r w:rsidRPr="00151A80">
        <w:rPr>
          <w:rStyle w:val="Hyperlink0"/>
        </w:rPr>
        <w:t xml:space="preserve">, </w:t>
      </w:r>
      <w:hyperlink r:id="rId8" w:history="1">
        <w:proofErr w:type="spellStart"/>
        <w:r w:rsidRPr="00151A80">
          <w:rPr>
            <w:rStyle w:val="Hyperlink0"/>
          </w:rPr>
          <w:t>Linkedin</w:t>
        </w:r>
        <w:proofErr w:type="spellEnd"/>
      </w:hyperlink>
      <w:r w:rsidRPr="00151A80">
        <w:rPr>
          <w:rStyle w:val="Hyperlink0"/>
        </w:rPr>
        <w:t xml:space="preserve">, </w:t>
      </w:r>
      <w:hyperlink r:id="rId9" w:history="1">
        <w:r w:rsidRPr="00151A80">
          <w:rPr>
            <w:rStyle w:val="Hyperlink0"/>
            <w:lang w:val="da-DK"/>
          </w:rPr>
          <w:t>Instagram</w:t>
        </w:r>
      </w:hyperlink>
    </w:p>
    <w:p w14:paraId="11007E5A" w14:textId="77777777" w:rsidR="00247A36" w:rsidRPr="00151A80" w:rsidRDefault="00247A36">
      <w:pPr>
        <w:spacing w:line="276" w:lineRule="auto"/>
        <w:jc w:val="both"/>
        <w:rPr>
          <w:rStyle w:val="dn"/>
          <w:rFonts w:ascii="Calibri" w:eastAsia="Helvetica" w:hAnsi="Calibri" w:cs="Calibri"/>
          <w:b/>
          <w:bCs/>
        </w:rPr>
      </w:pPr>
    </w:p>
    <w:p w14:paraId="1B8D2C84" w14:textId="77777777" w:rsidR="009D3031" w:rsidRPr="009D3031" w:rsidRDefault="009D3031" w:rsidP="009D3031">
      <w:pPr>
        <w:spacing w:line="276" w:lineRule="auto"/>
        <w:jc w:val="both"/>
        <w:rPr>
          <w:rStyle w:val="dn"/>
          <w:rFonts w:ascii="Calibri" w:hAnsi="Calibri" w:cs="Calibri"/>
          <w:b/>
          <w:bCs/>
          <w:sz w:val="18"/>
          <w:szCs w:val="18"/>
          <w:u w:val="single"/>
          <w:lang w:val="pt-PT"/>
        </w:rPr>
      </w:pPr>
      <w:r w:rsidRPr="009D3031">
        <w:rPr>
          <w:rStyle w:val="dn"/>
          <w:rFonts w:ascii="Calibri" w:hAnsi="Calibri" w:cs="Calibri"/>
          <w:b/>
          <w:bCs/>
          <w:sz w:val="18"/>
          <w:szCs w:val="18"/>
          <w:u w:val="single"/>
          <w:lang w:val="pt-PT"/>
        </w:rPr>
        <w:t>About CBRE</w:t>
      </w:r>
    </w:p>
    <w:p w14:paraId="0F4AE5B8" w14:textId="11F18106" w:rsidR="00247A36" w:rsidRPr="009D3031" w:rsidRDefault="009D3031" w:rsidP="009D3031">
      <w:pPr>
        <w:spacing w:line="276" w:lineRule="auto"/>
        <w:jc w:val="both"/>
        <w:rPr>
          <w:rFonts w:ascii="Calibri" w:hAnsi="Calibri" w:cs="Calibri"/>
        </w:rPr>
      </w:pPr>
      <w:r w:rsidRPr="009D3031">
        <w:rPr>
          <w:rStyle w:val="dn"/>
          <w:rFonts w:ascii="Calibri" w:hAnsi="Calibri" w:cs="Calibri"/>
          <w:sz w:val="18"/>
          <w:szCs w:val="18"/>
          <w:lang w:val="pt-PT"/>
        </w:rPr>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www.cbre.cz.</w:t>
      </w:r>
    </w:p>
    <w:sectPr w:rsidR="00247A36" w:rsidRPr="009D3031">
      <w:headerReference w:type="default" r:id="rId10"/>
      <w:headerReference w:type="first" r:id="rId11"/>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3698" w14:textId="77777777" w:rsidR="004E7DDF" w:rsidRDefault="004E7DDF">
      <w:r>
        <w:separator/>
      </w:r>
    </w:p>
  </w:endnote>
  <w:endnote w:type="continuationSeparator" w:id="0">
    <w:p w14:paraId="5D72356A" w14:textId="77777777" w:rsidR="004E7DDF" w:rsidRDefault="004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Futura Bk BT">
    <w:altName w:val="Century Gothic"/>
    <w:charset w:val="00"/>
    <w:family w:val="swiss"/>
    <w:pitch w:val="variable"/>
    <w:sig w:usb0="800000AF" w:usb1="1000204A" w:usb2="00000000" w:usb3="00000000" w:csb0="0000001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75F29" w14:textId="77777777" w:rsidR="004E7DDF" w:rsidRDefault="004E7DDF">
      <w:r>
        <w:separator/>
      </w:r>
    </w:p>
  </w:footnote>
  <w:footnote w:type="continuationSeparator" w:id="0">
    <w:p w14:paraId="0CCBF7F1" w14:textId="77777777" w:rsidR="004E7DDF" w:rsidRDefault="004E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7C8A0" w14:textId="4459D5DE" w:rsidR="00247A36" w:rsidRDefault="00151A80">
    <w:pPr>
      <w:pStyle w:val="Zhlav"/>
      <w:jc w:val="right"/>
    </w:pPr>
    <w:r>
      <w:rPr>
        <w:rFonts w:ascii="Arial" w:hAnsi="Arial"/>
        <w:b/>
        <w:bCs/>
        <w:sz w:val="16"/>
        <w:szCs w:val="16"/>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D67" w14:textId="77777777" w:rsidR="00247A36" w:rsidRDefault="004463F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6403F00A" wp14:editId="061CA93F">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149581CC" w14:textId="324CE7B1" w:rsidR="00247A36" w:rsidRDefault="00151A80">
                          <w:pPr>
                            <w:ind w:left="180"/>
                          </w:pPr>
                          <w:r>
                            <w:rPr>
                              <w:rFonts w:ascii="Arial" w:hAnsi="Arial"/>
                              <w:spacing w:val="118"/>
                              <w:sz w:val="44"/>
                              <w:szCs w:val="44"/>
                            </w:rPr>
                            <w:t>PRESS RELEASE</w:t>
                          </w:r>
                        </w:p>
                      </w:txbxContent>
                    </wps:txbx>
                    <wps:bodyPr wrap="square" lIns="45718" tIns="45718" rIns="45718" bIns="45718" numCol="1" anchor="t">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03F00A"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149581CC" w14:textId="324CE7B1" w:rsidR="00247A36" w:rsidRDefault="00151A80">
                    <w:pPr>
                      <w:ind w:left="180"/>
                    </w:pPr>
                    <w:r>
                      <w:rPr>
                        <w:rFonts w:ascii="Arial" w:hAnsi="Arial"/>
                        <w:spacing w:val="118"/>
                        <w:sz w:val="44"/>
                        <w:szCs w:val="44"/>
                      </w:rPr>
                      <w:t>PRESS 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36"/>
    <w:rsid w:val="00004309"/>
    <w:rsid w:val="00022BA2"/>
    <w:rsid w:val="00044DCD"/>
    <w:rsid w:val="000E77AB"/>
    <w:rsid w:val="000F4D8D"/>
    <w:rsid w:val="00114123"/>
    <w:rsid w:val="00150FA3"/>
    <w:rsid w:val="00151A80"/>
    <w:rsid w:val="00196F78"/>
    <w:rsid w:val="002124E0"/>
    <w:rsid w:val="00215245"/>
    <w:rsid w:val="002159DA"/>
    <w:rsid w:val="00247A36"/>
    <w:rsid w:val="002A145B"/>
    <w:rsid w:val="002C37CE"/>
    <w:rsid w:val="002E3586"/>
    <w:rsid w:val="00307106"/>
    <w:rsid w:val="00354C25"/>
    <w:rsid w:val="003633EB"/>
    <w:rsid w:val="003656C4"/>
    <w:rsid w:val="003668E6"/>
    <w:rsid w:val="003B198F"/>
    <w:rsid w:val="003E6D71"/>
    <w:rsid w:val="00407D81"/>
    <w:rsid w:val="004463F2"/>
    <w:rsid w:val="004C40DE"/>
    <w:rsid w:val="004E7DDF"/>
    <w:rsid w:val="005224B3"/>
    <w:rsid w:val="005745EE"/>
    <w:rsid w:val="006466F5"/>
    <w:rsid w:val="006C2483"/>
    <w:rsid w:val="006F0EA0"/>
    <w:rsid w:val="0070485F"/>
    <w:rsid w:val="00764FAE"/>
    <w:rsid w:val="0079066A"/>
    <w:rsid w:val="007B0F6D"/>
    <w:rsid w:val="007E6351"/>
    <w:rsid w:val="007F0173"/>
    <w:rsid w:val="00873B9F"/>
    <w:rsid w:val="00890FF1"/>
    <w:rsid w:val="008A2B38"/>
    <w:rsid w:val="008C756E"/>
    <w:rsid w:val="008E2094"/>
    <w:rsid w:val="00924101"/>
    <w:rsid w:val="0098569F"/>
    <w:rsid w:val="00997CD9"/>
    <w:rsid w:val="009A184F"/>
    <w:rsid w:val="009D3031"/>
    <w:rsid w:val="009F27E0"/>
    <w:rsid w:val="00A0664C"/>
    <w:rsid w:val="00A51118"/>
    <w:rsid w:val="00B36CFA"/>
    <w:rsid w:val="00B94E78"/>
    <w:rsid w:val="00BF70C7"/>
    <w:rsid w:val="00C0576F"/>
    <w:rsid w:val="00C1353C"/>
    <w:rsid w:val="00C649C0"/>
    <w:rsid w:val="00CB2256"/>
    <w:rsid w:val="00D20223"/>
    <w:rsid w:val="00D46D25"/>
    <w:rsid w:val="00DB77CA"/>
    <w:rsid w:val="00E050B5"/>
    <w:rsid w:val="00EB15B4"/>
    <w:rsid w:val="00EE38C0"/>
    <w:rsid w:val="00F16FD8"/>
    <w:rsid w:val="00F5357D"/>
    <w:rsid w:val="00F65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32BB"/>
  <w15:docId w15:val="{FF7ADEB0-9592-4638-BFDF-0189001F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dn">
    <w:name w:val="Žádný"/>
  </w:style>
  <w:style w:type="character" w:customStyle="1" w:styleId="Hyperlink0">
    <w:name w:val="Hyperlink.0"/>
    <w:basedOn w:val="dn"/>
    <w:rPr>
      <w:rFonts w:ascii="Calibri" w:eastAsia="Calibri" w:hAnsi="Calibri" w:cs="Calibri"/>
      <w:outline w:val="0"/>
      <w:color w:val="0000FF"/>
      <w:sz w:val="22"/>
      <w:szCs w:val="22"/>
      <w:u w:val="single" w:color="0000FF"/>
    </w:rPr>
  </w:style>
  <w:style w:type="character" w:customStyle="1" w:styleId="Hyperlink1">
    <w:name w:val="Hyperlink.1"/>
    <w:basedOn w:val="dn"/>
    <w:rPr>
      <w:rFonts w:ascii="Calibri" w:eastAsia="Calibri" w:hAnsi="Calibri" w:cs="Calibri"/>
      <w:outline w:val="0"/>
      <w:color w:val="0000FF"/>
      <w:sz w:val="18"/>
      <w:szCs w:val="18"/>
      <w:u w:val="single" w:color="0000FF"/>
    </w:rPr>
  </w:style>
  <w:style w:type="paragraph" w:styleId="Textbubliny">
    <w:name w:val="Balloon Text"/>
    <w:basedOn w:val="Normln"/>
    <w:link w:val="TextbublinyChar"/>
    <w:uiPriority w:val="99"/>
    <w:semiHidden/>
    <w:unhideWhenUsed/>
    <w:rsid w:val="002E35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3586"/>
    <w:rPr>
      <w:rFonts w:ascii="Segoe UI" w:hAnsi="Segoe UI" w:cs="Segoe UI"/>
      <w:color w:val="000000"/>
      <w:sz w:val="18"/>
      <w:szCs w:val="18"/>
      <w:u w:color="000000"/>
    </w:rPr>
  </w:style>
  <w:style w:type="character" w:styleId="Odkaznakoment">
    <w:name w:val="annotation reference"/>
    <w:basedOn w:val="Standardnpsmoodstavce"/>
    <w:uiPriority w:val="99"/>
    <w:semiHidden/>
    <w:unhideWhenUsed/>
    <w:rsid w:val="00A51118"/>
    <w:rPr>
      <w:sz w:val="16"/>
      <w:szCs w:val="16"/>
    </w:rPr>
  </w:style>
  <w:style w:type="paragraph" w:styleId="Textkomente">
    <w:name w:val="annotation text"/>
    <w:basedOn w:val="Normln"/>
    <w:link w:val="TextkomenteChar"/>
    <w:uiPriority w:val="99"/>
    <w:semiHidden/>
    <w:unhideWhenUsed/>
    <w:rsid w:val="00A51118"/>
    <w:rPr>
      <w:sz w:val="20"/>
      <w:szCs w:val="20"/>
    </w:rPr>
  </w:style>
  <w:style w:type="character" w:customStyle="1" w:styleId="TextkomenteChar">
    <w:name w:val="Text komentáře Char"/>
    <w:basedOn w:val="Standardnpsmoodstavce"/>
    <w:link w:val="Textkomente"/>
    <w:uiPriority w:val="99"/>
    <w:semiHidden/>
    <w:rsid w:val="00A51118"/>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A51118"/>
    <w:rPr>
      <w:b/>
      <w:bCs/>
    </w:rPr>
  </w:style>
  <w:style w:type="character" w:customStyle="1" w:styleId="PedmtkomenteChar">
    <w:name w:val="Předmět komentáře Char"/>
    <w:basedOn w:val="TextkomenteChar"/>
    <w:link w:val="Pedmtkomente"/>
    <w:uiPriority w:val="99"/>
    <w:semiHidden/>
    <w:rsid w:val="00A51118"/>
    <w:rPr>
      <w:rFonts w:cs="Arial Unicode MS"/>
      <w:b/>
      <w:bCs/>
      <w:color w:val="000000"/>
      <w:u w:color="000000"/>
    </w:rPr>
  </w:style>
  <w:style w:type="paragraph" w:styleId="Zpat">
    <w:name w:val="footer"/>
    <w:basedOn w:val="Normln"/>
    <w:link w:val="ZpatChar"/>
    <w:uiPriority w:val="99"/>
    <w:unhideWhenUsed/>
    <w:rsid w:val="00044DCD"/>
    <w:pPr>
      <w:tabs>
        <w:tab w:val="center" w:pos="4536"/>
        <w:tab w:val="right" w:pos="9072"/>
      </w:tabs>
    </w:pPr>
  </w:style>
  <w:style w:type="character" w:customStyle="1" w:styleId="ZpatChar">
    <w:name w:val="Zápatí Char"/>
    <w:basedOn w:val="Standardnpsmoodstavce"/>
    <w:link w:val="Zpat"/>
    <w:uiPriority w:val="99"/>
    <w:rsid w:val="00044DCD"/>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76329">
      <w:bodyDiv w:val="1"/>
      <w:marLeft w:val="0"/>
      <w:marRight w:val="0"/>
      <w:marTop w:val="0"/>
      <w:marBottom w:val="0"/>
      <w:divBdr>
        <w:top w:val="none" w:sz="0" w:space="0" w:color="auto"/>
        <w:left w:val="none" w:sz="0" w:space="0" w:color="auto"/>
        <w:bottom w:val="none" w:sz="0" w:space="0" w:color="auto"/>
        <w:right w:val="none" w:sz="0" w:space="0" w:color="auto"/>
      </w:divBdr>
    </w:div>
    <w:div w:id="61880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3585825?trk=tyah&amp;trkInfo=clickedVertical%2525253Acompany%2525252Cidx%2525253A1-1-1%2525252CtarId%2525253A1431360641868%2525252Ctas%2525253Acbre%25252520cze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ages/CBRE-News/626929170775263?ref=ts&amp;fref=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lina.musilova1@cbre.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cbre_c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5564</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Sheils, Chris @ PRAGUE</dc:creator>
  <cp:lastModifiedBy>Tereza Štosová</cp:lastModifiedBy>
  <cp:revision>2</cp:revision>
  <dcterms:created xsi:type="dcterms:W3CDTF">2019-12-18T12:56:00Z</dcterms:created>
  <dcterms:modified xsi:type="dcterms:W3CDTF">2019-12-18T12:56:00Z</dcterms:modified>
</cp:coreProperties>
</file>